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6AF3">
      <w:pPr>
        <w:spacing w:beforeLines="50" w:afterLines="50" w:line="360" w:lineRule="auto"/>
        <w:rPr>
          <w:rFonts w:asciiTheme="minorEastAsia" w:hAnsiTheme="minorEastAsia"/>
          <w:b/>
          <w:color w:val="000000" w:themeColor="text1"/>
          <w:sz w:val="44"/>
          <w:szCs w:val="44"/>
          <w:highlight w:val="none"/>
          <w14:textFill>
            <w14:solidFill>
              <w14:schemeClr w14:val="tx1"/>
            </w14:solidFill>
          </w14:textFill>
        </w:rPr>
      </w:pPr>
    </w:p>
    <w:p w14:paraId="6B04D396">
      <w:pPr>
        <w:pStyle w:val="2"/>
        <w:adjustRightInd w:val="0"/>
        <w:snapToGrid w:val="0"/>
        <w:spacing w:before="0" w:after="0" w:line="800" w:lineRule="exact"/>
        <w:jc w:val="center"/>
        <w:textAlignment w:val="baseline"/>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南通市总工会</w:t>
      </w:r>
      <w:r>
        <w:rPr>
          <w:rFonts w:hint="eastAsia" w:ascii="宋体" w:hAnsi="宋体"/>
          <w:color w:val="000000" w:themeColor="text1"/>
          <w:highlight w:val="none"/>
          <w:lang w:val="en-US" w:eastAsia="zh-CN"/>
          <w14:textFill>
            <w14:solidFill>
              <w14:schemeClr w14:val="tx1"/>
            </w14:solidFill>
          </w14:textFill>
        </w:rPr>
        <w:t>党建阵地</w:t>
      </w:r>
      <w:r>
        <w:rPr>
          <w:rFonts w:hint="eastAsia" w:ascii="宋体" w:hAnsi="宋体"/>
          <w:color w:val="000000" w:themeColor="text1"/>
          <w:highlight w:val="none"/>
          <w:lang w:eastAsia="zh-CN"/>
          <w14:textFill>
            <w14:solidFill>
              <w14:schemeClr w14:val="tx1"/>
            </w14:solidFill>
          </w14:textFill>
        </w:rPr>
        <w:t>设计方案招标</w:t>
      </w:r>
      <w:r>
        <w:rPr>
          <w:rFonts w:hint="eastAsia" w:ascii="宋体" w:hAnsi="宋体"/>
          <w:color w:val="000000" w:themeColor="text1"/>
          <w:highlight w:val="none"/>
          <w14:textFill>
            <w14:solidFill>
              <w14:schemeClr w14:val="tx1"/>
            </w14:solidFill>
          </w14:textFill>
        </w:rPr>
        <w:t>项目</w:t>
      </w:r>
    </w:p>
    <w:p w14:paraId="085F61AA">
      <w:pPr>
        <w:rPr>
          <w:rFonts w:ascii="宋体" w:hAnsi="宋体"/>
          <w:color w:val="000000" w:themeColor="text1"/>
          <w:sz w:val="44"/>
          <w:szCs w:val="44"/>
          <w:highlight w:val="none"/>
          <w14:textFill>
            <w14:solidFill>
              <w14:schemeClr w14:val="tx1"/>
            </w14:solidFill>
          </w14:textFill>
        </w:rPr>
      </w:pPr>
    </w:p>
    <w:p w14:paraId="55681818">
      <w:pPr>
        <w:pStyle w:val="22"/>
        <w:ind w:firstLine="880"/>
        <w:rPr>
          <w:color w:val="000000" w:themeColor="text1"/>
          <w:sz w:val="44"/>
          <w:szCs w:val="44"/>
          <w:highlight w:val="none"/>
          <w14:textFill>
            <w14:solidFill>
              <w14:schemeClr w14:val="tx1"/>
            </w14:solidFill>
          </w14:textFill>
        </w:rPr>
      </w:pPr>
    </w:p>
    <w:p w14:paraId="50672D4A">
      <w:pPr>
        <w:rPr>
          <w:color w:val="000000" w:themeColor="text1"/>
          <w:sz w:val="44"/>
          <w:szCs w:val="44"/>
          <w:highlight w:val="none"/>
          <w14:textFill>
            <w14:solidFill>
              <w14:schemeClr w14:val="tx1"/>
            </w14:solidFill>
          </w14:textFill>
        </w:rPr>
      </w:pPr>
    </w:p>
    <w:p w14:paraId="1A64D523">
      <w:pPr>
        <w:pStyle w:val="22"/>
        <w:rPr>
          <w:highlight w:val="none"/>
        </w:rPr>
      </w:pPr>
    </w:p>
    <w:p w14:paraId="1D6DBEBF">
      <w:pPr>
        <w:rPr>
          <w:highlight w:val="none"/>
          <w:lang w:val="zh-CN"/>
        </w:rPr>
      </w:pPr>
    </w:p>
    <w:p w14:paraId="0B8AF5BD">
      <w:pPr>
        <w:spacing w:beforeLines="50" w:afterLines="50" w:line="360" w:lineRule="auto"/>
        <w:jc w:val="center"/>
        <w:rPr>
          <w:rFonts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竞争性磋商文件</w:t>
      </w:r>
    </w:p>
    <w:p w14:paraId="2096DB46">
      <w:pPr>
        <w:spacing w:beforeLines="50" w:afterLines="50" w:line="360" w:lineRule="auto"/>
        <w:rPr>
          <w:rFonts w:ascii="宋体"/>
          <w:color w:val="000000" w:themeColor="text1"/>
          <w:sz w:val="28"/>
          <w:szCs w:val="28"/>
          <w:highlight w:val="none"/>
          <w14:textFill>
            <w14:solidFill>
              <w14:schemeClr w14:val="tx1"/>
            </w14:solidFill>
          </w14:textFill>
        </w:rPr>
      </w:pPr>
    </w:p>
    <w:p w14:paraId="489EC844">
      <w:pPr>
        <w:spacing w:beforeLines="50" w:afterLines="50" w:line="360" w:lineRule="auto"/>
        <w:rPr>
          <w:rFonts w:ascii="宋体"/>
          <w:b/>
          <w:color w:val="000000" w:themeColor="text1"/>
          <w:sz w:val="32"/>
          <w:szCs w:val="32"/>
          <w:highlight w:val="none"/>
          <w14:textFill>
            <w14:solidFill>
              <w14:schemeClr w14:val="tx1"/>
            </w14:solidFill>
          </w14:textFill>
        </w:rPr>
      </w:pPr>
    </w:p>
    <w:p w14:paraId="609924F1">
      <w:pPr>
        <w:spacing w:beforeLines="50" w:afterLines="50" w:line="360" w:lineRule="auto"/>
        <w:rPr>
          <w:rFonts w:ascii="宋体"/>
          <w:b/>
          <w:color w:val="000000" w:themeColor="text1"/>
          <w:sz w:val="32"/>
          <w:szCs w:val="32"/>
          <w:highlight w:val="none"/>
          <w14:textFill>
            <w14:solidFill>
              <w14:schemeClr w14:val="tx1"/>
            </w14:solidFill>
          </w14:textFill>
        </w:rPr>
      </w:pPr>
    </w:p>
    <w:p w14:paraId="1B5F566F">
      <w:pPr>
        <w:spacing w:beforeLines="50" w:afterLines="50" w:line="360" w:lineRule="auto"/>
        <w:rPr>
          <w:rFonts w:ascii="宋体"/>
          <w:b/>
          <w:color w:val="000000" w:themeColor="text1"/>
          <w:sz w:val="32"/>
          <w:szCs w:val="32"/>
          <w:highlight w:val="none"/>
          <w14:textFill>
            <w14:solidFill>
              <w14:schemeClr w14:val="tx1"/>
            </w14:solidFill>
          </w14:textFill>
        </w:rPr>
      </w:pPr>
    </w:p>
    <w:p w14:paraId="4D1E953F">
      <w:pPr>
        <w:spacing w:beforeLines="100" w:afterLines="100" w:line="360" w:lineRule="auto"/>
        <w:jc w:val="center"/>
        <w:rPr>
          <w:rFonts w:ascii="宋体" w:hAnsi="宋体"/>
          <w:b/>
          <w:color w:val="000000" w:themeColor="text1"/>
          <w:sz w:val="36"/>
          <w:szCs w:val="36"/>
          <w:highlight w:val="none"/>
          <w14:textFill>
            <w14:solidFill>
              <w14:schemeClr w14:val="tx1"/>
            </w14:solidFill>
          </w14:textFill>
        </w:rPr>
      </w:pPr>
    </w:p>
    <w:p w14:paraId="0254DD99">
      <w:pPr>
        <w:spacing w:beforeLines="100" w:afterLines="100" w:line="360" w:lineRule="auto"/>
        <w:jc w:val="center"/>
        <w:rPr>
          <w:rFonts w:hint="eastAsia" w:ascii="宋体" w:hAnsi="宋体" w:eastAsiaTheme="minorEastAsia"/>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招标人：</w:t>
      </w:r>
      <w:r>
        <w:rPr>
          <w:rFonts w:hint="eastAsia" w:ascii="宋体" w:hAnsi="宋体"/>
          <w:b/>
          <w:color w:val="000000" w:themeColor="text1"/>
          <w:sz w:val="32"/>
          <w:szCs w:val="32"/>
          <w:highlight w:val="none"/>
          <w:lang w:eastAsia="zh-CN"/>
          <w14:textFill>
            <w14:solidFill>
              <w14:schemeClr w14:val="tx1"/>
            </w14:solidFill>
          </w14:textFill>
        </w:rPr>
        <w:t>南通市总工会</w:t>
      </w:r>
    </w:p>
    <w:p w14:paraId="1A8ADD10">
      <w:pPr>
        <w:spacing w:beforeLines="100" w:afterLines="10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代理机构：南通建辰工程咨询有限公司</w:t>
      </w:r>
    </w:p>
    <w:p w14:paraId="36EE0880">
      <w:pPr>
        <w:spacing w:beforeLines="100" w:afterLines="100" w:line="360" w:lineRule="auto"/>
        <w:jc w:val="center"/>
        <w:rPr>
          <w:rFonts w:hint="eastAsia" w:ascii="宋体" w:hAnsi="宋体" w:eastAsiaTheme="minorEastAsia"/>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日期：</w:t>
      </w:r>
      <w:r>
        <w:rPr>
          <w:rFonts w:hint="eastAsia" w:ascii="宋体" w:hAnsi="宋体"/>
          <w:b/>
          <w:color w:val="000000" w:themeColor="text1"/>
          <w:sz w:val="32"/>
          <w:szCs w:val="32"/>
          <w:highlight w:val="none"/>
          <w:lang w:eastAsia="zh-CN"/>
          <w14:textFill>
            <w14:solidFill>
              <w14:schemeClr w14:val="tx1"/>
            </w14:solidFill>
          </w14:textFill>
        </w:rPr>
        <w:t>2024</w:t>
      </w:r>
      <w:r>
        <w:rPr>
          <w:rFonts w:hint="eastAsia" w:ascii="宋体" w:hAnsi="宋体"/>
          <w:b/>
          <w:color w:val="000000" w:themeColor="text1"/>
          <w:sz w:val="32"/>
          <w:szCs w:val="32"/>
          <w:highlight w:val="none"/>
          <w14:textFill>
            <w14:solidFill>
              <w14:schemeClr w14:val="tx1"/>
            </w14:solidFill>
          </w14:textFill>
        </w:rPr>
        <w:t>年</w:t>
      </w:r>
      <w:r>
        <w:rPr>
          <w:rFonts w:hint="eastAsia" w:ascii="宋体" w:hAnsi="宋体"/>
          <w:b/>
          <w:color w:val="000000" w:themeColor="text1"/>
          <w:sz w:val="32"/>
          <w:szCs w:val="32"/>
          <w:highlight w:val="none"/>
          <w:lang w:val="en-US" w:eastAsia="zh-CN"/>
          <w14:textFill>
            <w14:solidFill>
              <w14:schemeClr w14:val="tx1"/>
            </w14:solidFill>
          </w14:textFill>
        </w:rPr>
        <w:t>7</w:t>
      </w:r>
      <w:r>
        <w:rPr>
          <w:rFonts w:hint="eastAsia" w:ascii="宋体" w:hAnsi="宋体"/>
          <w:b/>
          <w:color w:val="000000" w:themeColor="text1"/>
          <w:sz w:val="32"/>
          <w:szCs w:val="32"/>
          <w:highlight w:val="none"/>
          <w:lang w:eastAsia="zh-CN"/>
          <w14:textFill>
            <w14:solidFill>
              <w14:schemeClr w14:val="tx1"/>
            </w14:solidFill>
          </w14:textFill>
        </w:rPr>
        <w:t>月</w:t>
      </w:r>
      <w:r>
        <w:rPr>
          <w:rFonts w:hint="eastAsia" w:ascii="宋体" w:hAnsi="宋体"/>
          <w:b/>
          <w:color w:val="000000" w:themeColor="text1"/>
          <w:sz w:val="32"/>
          <w:szCs w:val="32"/>
          <w:highlight w:val="none"/>
          <w:lang w:val="en-US" w:eastAsia="zh-CN"/>
          <w14:textFill>
            <w14:solidFill>
              <w14:schemeClr w14:val="tx1"/>
            </w14:solidFill>
          </w14:textFill>
        </w:rPr>
        <w:t>23</w:t>
      </w:r>
      <w:r>
        <w:rPr>
          <w:rFonts w:hint="eastAsia" w:ascii="宋体" w:hAnsi="宋体"/>
          <w:b/>
          <w:color w:val="000000" w:themeColor="text1"/>
          <w:sz w:val="32"/>
          <w:szCs w:val="32"/>
          <w:highlight w:val="none"/>
          <w:lang w:eastAsia="zh-CN"/>
          <w14:textFill>
            <w14:solidFill>
              <w14:schemeClr w14:val="tx1"/>
            </w14:solidFill>
          </w14:textFill>
        </w:rPr>
        <w:t>日</w:t>
      </w:r>
    </w:p>
    <w:p w14:paraId="7DD232BB">
      <w:pPr>
        <w:spacing w:beforeLines="100" w:afterLines="100" w:line="360" w:lineRule="auto"/>
        <w:ind w:firstLine="708" w:firstLineChars="196"/>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6"/>
          <w:szCs w:val="36"/>
          <w:highlight w:val="none"/>
          <w14:textFill>
            <w14:solidFill>
              <w14:schemeClr w14:val="tx1"/>
            </w14:solidFill>
          </w14:textFill>
        </w:rPr>
        <w:br w:type="page"/>
      </w:r>
    </w:p>
    <w:p w14:paraId="6598EA8B">
      <w:pPr>
        <w:pStyle w:val="26"/>
        <w:jc w:val="center"/>
        <w:rPr>
          <w:rFonts w:asci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lang w:val="zh-CN"/>
          <w14:textFill>
            <w14:solidFill>
              <w14:schemeClr w14:val="tx1"/>
            </w14:solidFill>
          </w14:textFill>
        </w:rPr>
        <w:t>目录</w:t>
      </w:r>
    </w:p>
    <w:p w14:paraId="61662A44">
      <w:pPr>
        <w:pStyle w:val="14"/>
        <w:tabs>
          <w:tab w:val="right" w:leader="dot" w:pos="9344"/>
        </w:tabs>
        <w:rPr>
          <w:rFonts w:asciiTheme="minorHAnsi" w:hAnsiTheme="minorHAnsi" w:eastAsiaTheme="minorEastAsia" w:cstheme="minorBidi"/>
          <w:color w:val="000000" w:themeColor="text1"/>
          <w:sz w:val="24"/>
          <w:szCs w:val="28"/>
          <w:highlight w:val="none"/>
          <w14:textFill>
            <w14:solidFill>
              <w14:schemeClr w14:val="tx1"/>
            </w14:solidFill>
          </w14:textFill>
        </w:rPr>
      </w:pPr>
      <w:r>
        <w:rPr>
          <w:rFonts w:ascii="宋体" w:hAnsi="宋体"/>
          <w:color w:val="000000" w:themeColor="text1"/>
          <w:sz w:val="36"/>
          <w:szCs w:val="36"/>
          <w:highlight w:val="none"/>
          <w14:textFill>
            <w14:solidFill>
              <w14:schemeClr w14:val="tx1"/>
            </w14:solidFill>
          </w14:textFill>
        </w:rPr>
        <w:fldChar w:fldCharType="begin"/>
      </w:r>
      <w:r>
        <w:rPr>
          <w:rFonts w:ascii="宋体" w:hAnsi="宋体"/>
          <w:color w:val="000000" w:themeColor="text1"/>
          <w:sz w:val="36"/>
          <w:szCs w:val="36"/>
          <w:highlight w:val="none"/>
          <w14:textFill>
            <w14:solidFill>
              <w14:schemeClr w14:val="tx1"/>
            </w14:solidFill>
          </w14:textFill>
        </w:rPr>
        <w:instrText xml:space="preserve"> TOC \o "1-3" \h \z \u </w:instrText>
      </w:r>
      <w:r>
        <w:rPr>
          <w:rFonts w:ascii="宋体" w:hAnsi="宋体"/>
          <w:color w:val="000000" w:themeColor="text1"/>
          <w:sz w:val="36"/>
          <w:szCs w:val="36"/>
          <w:highlight w:val="none"/>
          <w14:textFill>
            <w14:solidFill>
              <w14:schemeClr w14:val="tx1"/>
            </w14:solidFill>
          </w14:textFill>
        </w:rPr>
        <w:fldChar w:fldCharType="separate"/>
      </w:r>
      <w:r>
        <w:rPr>
          <w:sz w:val="24"/>
          <w:szCs w:val="28"/>
          <w:highlight w:val="none"/>
        </w:rPr>
        <w:fldChar w:fldCharType="begin"/>
      </w:r>
      <w:r>
        <w:rPr>
          <w:sz w:val="24"/>
          <w:szCs w:val="28"/>
          <w:highlight w:val="none"/>
        </w:rPr>
        <w:instrText xml:space="preserve"> HYPERLINK \l "_Toc517717025"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第一章招标公告</w:t>
      </w:r>
      <w:r>
        <w:rPr>
          <w:color w:val="000000" w:themeColor="text1"/>
          <w:sz w:val="24"/>
          <w:szCs w:val="28"/>
          <w:highlight w:val="none"/>
          <w14:textFill>
            <w14:solidFill>
              <w14:schemeClr w14:val="tx1"/>
            </w14:solidFill>
          </w14:textFill>
        </w:rPr>
        <w:tab/>
      </w:r>
      <w:r>
        <w:rPr>
          <w:color w:val="000000" w:themeColor="text1"/>
          <w:sz w:val="24"/>
          <w:szCs w:val="28"/>
          <w:highlight w:val="none"/>
          <w14:textFill>
            <w14:solidFill>
              <w14:schemeClr w14:val="tx1"/>
            </w14:solidFill>
          </w14:textFill>
        </w:rPr>
        <w:fldChar w:fldCharType="begin"/>
      </w:r>
      <w:r>
        <w:rPr>
          <w:color w:val="000000" w:themeColor="text1"/>
          <w:sz w:val="24"/>
          <w:szCs w:val="28"/>
          <w:highlight w:val="none"/>
          <w14:textFill>
            <w14:solidFill>
              <w14:schemeClr w14:val="tx1"/>
            </w14:solidFill>
          </w14:textFill>
        </w:rPr>
        <w:instrText xml:space="preserve"> PAGEREF _Toc517717025 \h </w:instrText>
      </w:r>
      <w:r>
        <w:rPr>
          <w:color w:val="000000" w:themeColor="text1"/>
          <w:sz w:val="24"/>
          <w:szCs w:val="28"/>
          <w:highlight w:val="none"/>
          <w14:textFill>
            <w14:solidFill>
              <w14:schemeClr w14:val="tx1"/>
            </w14:solidFill>
          </w14:textFill>
        </w:rPr>
        <w:fldChar w:fldCharType="separate"/>
      </w:r>
      <w:r>
        <w:rPr>
          <w:color w:val="000000" w:themeColor="text1"/>
          <w:sz w:val="24"/>
          <w:szCs w:val="28"/>
          <w:highlight w:val="none"/>
          <w14:textFill>
            <w14:solidFill>
              <w14:schemeClr w14:val="tx1"/>
            </w14:solidFill>
          </w14:textFill>
        </w:rPr>
        <w:t>- 3 -</w:t>
      </w:r>
      <w:r>
        <w:rPr>
          <w:color w:val="000000" w:themeColor="text1"/>
          <w:sz w:val="24"/>
          <w:szCs w:val="28"/>
          <w:highlight w:val="none"/>
          <w14:textFill>
            <w14:solidFill>
              <w14:schemeClr w14:val="tx1"/>
            </w14:solidFill>
          </w14:textFill>
        </w:rPr>
        <w:fldChar w:fldCharType="end"/>
      </w:r>
      <w:r>
        <w:rPr>
          <w:color w:val="000000" w:themeColor="text1"/>
          <w:sz w:val="24"/>
          <w:szCs w:val="28"/>
          <w:highlight w:val="none"/>
          <w14:textFill>
            <w14:solidFill>
              <w14:schemeClr w14:val="tx1"/>
            </w14:solidFill>
          </w14:textFill>
        </w:rPr>
        <w:fldChar w:fldCharType="end"/>
      </w:r>
    </w:p>
    <w:p w14:paraId="7606EC49">
      <w:pPr>
        <w:pStyle w:val="14"/>
        <w:tabs>
          <w:tab w:val="right" w:leader="dot" w:pos="9344"/>
        </w:tabs>
        <w:rPr>
          <w:rFonts w:asciiTheme="minorHAnsi" w:hAnsiTheme="minorHAnsi" w:eastAsiaTheme="minorEastAsia" w:cstheme="minorBidi"/>
          <w:color w:val="000000" w:themeColor="text1"/>
          <w:sz w:val="24"/>
          <w:szCs w:val="28"/>
          <w:highlight w:val="none"/>
          <w14:textFill>
            <w14:solidFill>
              <w14:schemeClr w14:val="tx1"/>
            </w14:solidFill>
          </w14:textFill>
        </w:rPr>
      </w:pPr>
      <w:r>
        <w:rPr>
          <w:sz w:val="24"/>
          <w:szCs w:val="28"/>
          <w:highlight w:val="none"/>
        </w:rPr>
        <w:fldChar w:fldCharType="begin"/>
      </w:r>
      <w:r>
        <w:rPr>
          <w:sz w:val="24"/>
          <w:szCs w:val="28"/>
          <w:highlight w:val="none"/>
        </w:rPr>
        <w:instrText xml:space="preserve"> HYPERLINK \l "_Toc517717026"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第二章磋商供应商须知</w:t>
      </w:r>
      <w:r>
        <w:rPr>
          <w:color w:val="000000" w:themeColor="text1"/>
          <w:sz w:val="24"/>
          <w:szCs w:val="28"/>
          <w:highlight w:val="none"/>
          <w14:textFill>
            <w14:solidFill>
              <w14:schemeClr w14:val="tx1"/>
            </w14:solidFill>
          </w14:textFill>
        </w:rPr>
        <w:tab/>
      </w:r>
      <w:r>
        <w:rPr>
          <w:color w:val="000000" w:themeColor="text1"/>
          <w:sz w:val="24"/>
          <w:szCs w:val="28"/>
          <w:highlight w:val="none"/>
          <w14:textFill>
            <w14:solidFill>
              <w14:schemeClr w14:val="tx1"/>
            </w14:solidFill>
          </w14:textFill>
        </w:rPr>
        <w:fldChar w:fldCharType="begin"/>
      </w:r>
      <w:r>
        <w:rPr>
          <w:color w:val="000000" w:themeColor="text1"/>
          <w:sz w:val="24"/>
          <w:szCs w:val="28"/>
          <w:highlight w:val="none"/>
          <w14:textFill>
            <w14:solidFill>
              <w14:schemeClr w14:val="tx1"/>
            </w14:solidFill>
          </w14:textFill>
        </w:rPr>
        <w:instrText xml:space="preserve"> PAGEREF _Toc517717026 \h </w:instrText>
      </w:r>
      <w:r>
        <w:rPr>
          <w:color w:val="000000" w:themeColor="text1"/>
          <w:sz w:val="24"/>
          <w:szCs w:val="28"/>
          <w:highlight w:val="none"/>
          <w14:textFill>
            <w14:solidFill>
              <w14:schemeClr w14:val="tx1"/>
            </w14:solidFill>
          </w14:textFill>
        </w:rPr>
        <w:fldChar w:fldCharType="separate"/>
      </w:r>
      <w:r>
        <w:rPr>
          <w:color w:val="000000" w:themeColor="text1"/>
          <w:sz w:val="24"/>
          <w:szCs w:val="28"/>
          <w:highlight w:val="none"/>
          <w14:textFill>
            <w14:solidFill>
              <w14:schemeClr w14:val="tx1"/>
            </w14:solidFill>
          </w14:textFill>
        </w:rPr>
        <w:t>- 4 -</w:t>
      </w:r>
      <w:r>
        <w:rPr>
          <w:color w:val="000000" w:themeColor="text1"/>
          <w:sz w:val="24"/>
          <w:szCs w:val="28"/>
          <w:highlight w:val="none"/>
          <w14:textFill>
            <w14:solidFill>
              <w14:schemeClr w14:val="tx1"/>
            </w14:solidFill>
          </w14:textFill>
        </w:rPr>
        <w:fldChar w:fldCharType="end"/>
      </w:r>
      <w:r>
        <w:rPr>
          <w:color w:val="000000" w:themeColor="text1"/>
          <w:sz w:val="24"/>
          <w:szCs w:val="28"/>
          <w:highlight w:val="none"/>
          <w14:textFill>
            <w14:solidFill>
              <w14:schemeClr w14:val="tx1"/>
            </w14:solidFill>
          </w14:textFill>
        </w:rPr>
        <w:fldChar w:fldCharType="end"/>
      </w:r>
    </w:p>
    <w:p w14:paraId="0593ECA5">
      <w:pPr>
        <w:pStyle w:val="14"/>
        <w:tabs>
          <w:tab w:val="right" w:leader="dot" w:pos="9344"/>
        </w:tabs>
        <w:rPr>
          <w:color w:val="000000" w:themeColor="text1"/>
          <w:sz w:val="24"/>
          <w:szCs w:val="28"/>
          <w:highlight w:val="none"/>
          <w14:textFill>
            <w14:solidFill>
              <w14:schemeClr w14:val="tx1"/>
            </w14:solidFill>
          </w14:textFill>
        </w:rPr>
      </w:pPr>
      <w:r>
        <w:rPr>
          <w:sz w:val="24"/>
          <w:szCs w:val="28"/>
          <w:highlight w:val="none"/>
        </w:rPr>
        <w:fldChar w:fldCharType="begin"/>
      </w:r>
      <w:r>
        <w:rPr>
          <w:sz w:val="24"/>
          <w:szCs w:val="28"/>
          <w:highlight w:val="none"/>
        </w:rPr>
        <w:instrText xml:space="preserve"> HYPERLINK \l "_Toc517717027"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第三章采购需求</w:t>
      </w:r>
      <w:r>
        <w:rPr>
          <w:color w:val="000000" w:themeColor="text1"/>
          <w:sz w:val="24"/>
          <w:szCs w:val="28"/>
          <w:highlight w:val="none"/>
          <w14:textFill>
            <w14:solidFill>
              <w14:schemeClr w14:val="tx1"/>
            </w14:solidFill>
          </w14:textFill>
        </w:rPr>
        <w:tab/>
      </w:r>
      <w:r>
        <w:rPr>
          <w:rFonts w:hint="eastAsia"/>
          <w:color w:val="000000" w:themeColor="text1"/>
          <w:sz w:val="24"/>
          <w:szCs w:val="28"/>
          <w:highlight w:val="none"/>
          <w14:textFill>
            <w14:solidFill>
              <w14:schemeClr w14:val="tx1"/>
            </w14:solidFill>
          </w14:textFill>
        </w:rPr>
        <w:t>9</w:t>
      </w:r>
      <w:r>
        <w:rPr>
          <w:rFonts w:hint="eastAsia"/>
          <w:color w:val="000000" w:themeColor="text1"/>
          <w:sz w:val="24"/>
          <w:szCs w:val="28"/>
          <w:highlight w:val="none"/>
          <w14:textFill>
            <w14:solidFill>
              <w14:schemeClr w14:val="tx1"/>
            </w14:solidFill>
          </w14:textFill>
        </w:rPr>
        <w:fldChar w:fldCharType="end"/>
      </w:r>
    </w:p>
    <w:p w14:paraId="1AB3E8DD">
      <w:pPr>
        <w:pStyle w:val="14"/>
        <w:tabs>
          <w:tab w:val="right" w:leader="dot" w:pos="9344"/>
        </w:tabs>
        <w:rPr>
          <w:color w:val="000000" w:themeColor="text1"/>
          <w:sz w:val="24"/>
          <w:szCs w:val="28"/>
          <w:highlight w:val="none"/>
          <w14:textFill>
            <w14:solidFill>
              <w14:schemeClr w14:val="tx1"/>
            </w14:solidFill>
          </w14:textFill>
        </w:rPr>
      </w:pPr>
      <w:r>
        <w:rPr>
          <w:sz w:val="24"/>
          <w:szCs w:val="28"/>
          <w:highlight w:val="none"/>
        </w:rPr>
        <w:fldChar w:fldCharType="begin"/>
      </w:r>
      <w:r>
        <w:rPr>
          <w:sz w:val="24"/>
          <w:szCs w:val="28"/>
          <w:highlight w:val="none"/>
        </w:rPr>
        <w:instrText xml:space="preserve"> HYPERLINK \l "_Toc517717028"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第四章评标办法</w:t>
      </w:r>
      <w:r>
        <w:rPr>
          <w:color w:val="000000" w:themeColor="text1"/>
          <w:sz w:val="24"/>
          <w:szCs w:val="28"/>
          <w:highlight w:val="none"/>
          <w14:textFill>
            <w14:solidFill>
              <w14:schemeClr w14:val="tx1"/>
            </w14:solidFill>
          </w14:textFill>
        </w:rPr>
        <w:tab/>
      </w:r>
      <w:r>
        <w:rPr>
          <w:rFonts w:hint="eastAsia"/>
          <w:color w:val="000000" w:themeColor="text1"/>
          <w:sz w:val="24"/>
          <w:szCs w:val="28"/>
          <w:highlight w:val="none"/>
          <w14:textFill>
            <w14:solidFill>
              <w14:schemeClr w14:val="tx1"/>
            </w14:solidFill>
          </w14:textFill>
        </w:rPr>
        <w:t>10</w:t>
      </w:r>
      <w:r>
        <w:rPr>
          <w:rFonts w:hint="eastAsia"/>
          <w:color w:val="000000" w:themeColor="text1"/>
          <w:sz w:val="24"/>
          <w:szCs w:val="28"/>
          <w:highlight w:val="none"/>
          <w14:textFill>
            <w14:solidFill>
              <w14:schemeClr w14:val="tx1"/>
            </w14:solidFill>
          </w14:textFill>
        </w:rPr>
        <w:fldChar w:fldCharType="end"/>
      </w:r>
    </w:p>
    <w:p w14:paraId="033B65D3">
      <w:pPr>
        <w:pStyle w:val="14"/>
        <w:tabs>
          <w:tab w:val="right" w:leader="dot" w:pos="9344"/>
        </w:tabs>
        <w:rPr>
          <w:color w:val="000000" w:themeColor="text1"/>
          <w:sz w:val="24"/>
          <w:szCs w:val="28"/>
          <w:highlight w:val="none"/>
          <w14:textFill>
            <w14:solidFill>
              <w14:schemeClr w14:val="tx1"/>
            </w14:solidFill>
          </w14:textFill>
        </w:rPr>
      </w:pPr>
      <w:r>
        <w:rPr>
          <w:sz w:val="24"/>
          <w:szCs w:val="28"/>
          <w:highlight w:val="none"/>
        </w:rPr>
        <w:fldChar w:fldCharType="begin"/>
      </w:r>
      <w:r>
        <w:rPr>
          <w:sz w:val="24"/>
          <w:szCs w:val="28"/>
          <w:highlight w:val="none"/>
        </w:rPr>
        <w:instrText xml:space="preserve"> HYPERLINK \l "_Toc517717028"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第五章合同主要条款表</w:t>
      </w:r>
      <w:r>
        <w:rPr>
          <w:color w:val="000000" w:themeColor="text1"/>
          <w:sz w:val="24"/>
          <w:szCs w:val="28"/>
          <w:highlight w:val="none"/>
          <w14:textFill>
            <w14:solidFill>
              <w14:schemeClr w14:val="tx1"/>
            </w14:solidFill>
          </w14:textFill>
        </w:rPr>
        <w:tab/>
      </w:r>
      <w:r>
        <w:rPr>
          <w:rFonts w:hint="eastAsia"/>
          <w:color w:val="000000" w:themeColor="text1"/>
          <w:sz w:val="24"/>
          <w:szCs w:val="28"/>
          <w:highlight w:val="none"/>
          <w14:textFill>
            <w14:solidFill>
              <w14:schemeClr w14:val="tx1"/>
            </w14:solidFill>
          </w14:textFill>
        </w:rPr>
        <w:t>14</w:t>
      </w:r>
      <w:r>
        <w:rPr>
          <w:rFonts w:hint="eastAsia"/>
          <w:color w:val="000000" w:themeColor="text1"/>
          <w:sz w:val="24"/>
          <w:szCs w:val="28"/>
          <w:highlight w:val="none"/>
          <w14:textFill>
            <w14:solidFill>
              <w14:schemeClr w14:val="tx1"/>
            </w14:solidFill>
          </w14:textFill>
        </w:rPr>
        <w:fldChar w:fldCharType="end"/>
      </w:r>
    </w:p>
    <w:p w14:paraId="3F04F1C3">
      <w:pPr>
        <w:pStyle w:val="14"/>
        <w:tabs>
          <w:tab w:val="right" w:leader="dot" w:pos="9344"/>
        </w:tabs>
        <w:rPr>
          <w:rFonts w:hint="eastAsia" w:eastAsia="宋体" w:asciiTheme="minorHAnsi" w:hAnsiTheme="minorHAnsi" w:cstheme="minorBidi"/>
          <w:color w:val="000000" w:themeColor="text1"/>
          <w:sz w:val="24"/>
          <w:szCs w:val="28"/>
          <w:highlight w:val="none"/>
          <w:lang w:val="en-US" w:eastAsia="zh-CN"/>
          <w14:textFill>
            <w14:solidFill>
              <w14:schemeClr w14:val="tx1"/>
            </w14:solidFill>
          </w14:textFill>
        </w:rPr>
      </w:pPr>
      <w:r>
        <w:rPr>
          <w:sz w:val="24"/>
          <w:szCs w:val="28"/>
          <w:highlight w:val="none"/>
        </w:rPr>
        <w:fldChar w:fldCharType="begin"/>
      </w:r>
      <w:r>
        <w:rPr>
          <w:sz w:val="24"/>
          <w:szCs w:val="28"/>
          <w:highlight w:val="none"/>
        </w:rPr>
        <w:instrText xml:space="preserve"> HYPERLINK \l "_Toc517717029" </w:instrText>
      </w:r>
      <w:r>
        <w:rPr>
          <w:sz w:val="24"/>
          <w:szCs w:val="28"/>
          <w:highlight w:val="none"/>
        </w:rPr>
        <w:fldChar w:fldCharType="separate"/>
      </w:r>
      <w:r>
        <w:rPr>
          <w:rStyle w:val="21"/>
          <w:rFonts w:hint="eastAsia"/>
          <w:color w:val="000000" w:themeColor="text1"/>
          <w:sz w:val="24"/>
          <w:szCs w:val="28"/>
          <w:highlight w:val="none"/>
          <w14:textFill>
            <w14:solidFill>
              <w14:schemeClr w14:val="tx1"/>
            </w14:solidFill>
          </w14:textFill>
        </w:rPr>
        <w:t>第六章投标文件格式</w:t>
      </w:r>
      <w:r>
        <w:rPr>
          <w:color w:val="000000" w:themeColor="text1"/>
          <w:sz w:val="24"/>
          <w:szCs w:val="28"/>
          <w:highlight w:val="none"/>
          <w14:textFill>
            <w14:solidFill>
              <w14:schemeClr w14:val="tx1"/>
            </w14:solidFill>
          </w14:textFill>
        </w:rPr>
        <w:tab/>
      </w:r>
      <w:r>
        <w:rPr>
          <w:rFonts w:hint="eastAsia"/>
          <w:color w:val="000000" w:themeColor="text1"/>
          <w:sz w:val="24"/>
          <w:szCs w:val="28"/>
          <w:highlight w:val="none"/>
          <w:lang w:val="en-US" w:eastAsia="zh-CN"/>
          <w14:textFill>
            <w14:solidFill>
              <w14:schemeClr w14:val="tx1"/>
            </w14:solidFill>
          </w14:textFill>
        </w:rPr>
        <w:t>2</w:t>
      </w:r>
      <w:r>
        <w:rPr>
          <w:rFonts w:hint="eastAsia"/>
          <w:color w:val="000000" w:themeColor="text1"/>
          <w:sz w:val="24"/>
          <w:szCs w:val="28"/>
          <w:highlight w:val="none"/>
          <w14:textFill>
            <w14:solidFill>
              <w14:schemeClr w14:val="tx1"/>
            </w14:solidFill>
          </w14:textFill>
        </w:rPr>
        <w:fldChar w:fldCharType="end"/>
      </w:r>
      <w:r>
        <w:rPr>
          <w:rFonts w:hint="eastAsia"/>
          <w:color w:val="000000" w:themeColor="text1"/>
          <w:sz w:val="24"/>
          <w:szCs w:val="28"/>
          <w:highlight w:val="none"/>
          <w:lang w:val="en-US" w:eastAsia="zh-CN"/>
          <w14:textFill>
            <w14:solidFill>
              <w14:schemeClr w14:val="tx1"/>
            </w14:solidFill>
          </w14:textFill>
        </w:rPr>
        <w:t>4</w:t>
      </w:r>
    </w:p>
    <w:p w14:paraId="67EA403D">
      <w:pPr>
        <w:rPr>
          <w:rFonts w:ascii="宋体"/>
          <w:color w:val="000000" w:themeColor="text1"/>
          <w:sz w:val="36"/>
          <w:szCs w:val="36"/>
          <w:highlight w:val="none"/>
          <w14:textFill>
            <w14:solidFill>
              <w14:schemeClr w14:val="tx1"/>
            </w14:solidFill>
          </w14:textFill>
        </w:rPr>
      </w:pPr>
      <w:r>
        <w:rPr>
          <w:rFonts w:ascii="宋体" w:hAnsi="宋体"/>
          <w:color w:val="000000" w:themeColor="text1"/>
          <w:sz w:val="36"/>
          <w:szCs w:val="36"/>
          <w:highlight w:val="none"/>
          <w14:textFill>
            <w14:solidFill>
              <w14:schemeClr w14:val="tx1"/>
            </w14:solidFill>
          </w14:textFill>
        </w:rPr>
        <w:fldChar w:fldCharType="end"/>
      </w:r>
    </w:p>
    <w:p w14:paraId="22C2C73D">
      <w:pPr>
        <w:rPr>
          <w:rFonts w:ascii="宋体"/>
          <w:color w:val="000000" w:themeColor="text1"/>
          <w:sz w:val="28"/>
          <w:szCs w:val="28"/>
          <w:highlight w:val="none"/>
          <w14:textFill>
            <w14:solidFill>
              <w14:schemeClr w14:val="tx1"/>
            </w14:solidFill>
          </w14:textFill>
        </w:rPr>
      </w:pPr>
    </w:p>
    <w:p w14:paraId="19593C30">
      <w:pPr>
        <w:rPr>
          <w:rFonts w:ascii="宋体"/>
          <w:color w:val="000000" w:themeColor="text1"/>
          <w:sz w:val="28"/>
          <w:szCs w:val="28"/>
          <w:highlight w:val="none"/>
          <w14:textFill>
            <w14:solidFill>
              <w14:schemeClr w14:val="tx1"/>
            </w14:solidFill>
          </w14:textFill>
        </w:rPr>
      </w:pPr>
    </w:p>
    <w:p w14:paraId="1937737D">
      <w:pPr>
        <w:widowControl/>
        <w:jc w:val="left"/>
        <w:rPr>
          <w:rFonts w:ascii="宋体"/>
          <w:color w:val="000000" w:themeColor="text1"/>
          <w:sz w:val="28"/>
          <w:szCs w:val="28"/>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br w:type="page"/>
      </w:r>
    </w:p>
    <w:p w14:paraId="1EB2C346">
      <w:pPr>
        <w:pStyle w:val="2"/>
        <w:spacing w:before="240" w:after="240" w:line="360" w:lineRule="auto"/>
        <w:jc w:val="center"/>
        <w:rPr>
          <w:color w:val="000000" w:themeColor="text1"/>
          <w:highlight w:val="none"/>
          <w14:textFill>
            <w14:solidFill>
              <w14:schemeClr w14:val="tx1"/>
            </w14:solidFill>
          </w14:textFill>
        </w:rPr>
      </w:pPr>
      <w:bookmarkStart w:id="0" w:name="_Toc517717025"/>
      <w:r>
        <w:rPr>
          <w:rFonts w:hint="eastAsia"/>
          <w:color w:val="000000" w:themeColor="text1"/>
          <w:highlight w:val="none"/>
          <w14:textFill>
            <w14:solidFill>
              <w14:schemeClr w14:val="tx1"/>
            </w14:solidFill>
          </w14:textFill>
        </w:rPr>
        <w:t>第一章 招标公告</w:t>
      </w:r>
      <w:bookmarkEnd w:id="0"/>
    </w:p>
    <w:p w14:paraId="10984C52">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南通建辰工程咨询有限公司（以下简称代理机构）受</w:t>
      </w:r>
      <w:r>
        <w:rPr>
          <w:rFonts w:hint="eastAsia" w:ascii="宋体" w:hAnsi="宋体" w:cs="宋体"/>
          <w:color w:val="000000" w:themeColor="text1"/>
          <w:sz w:val="24"/>
          <w:szCs w:val="24"/>
          <w:highlight w:val="none"/>
          <w:lang w:eastAsia="zh-CN"/>
          <w14:textFill>
            <w14:solidFill>
              <w14:schemeClr w14:val="tx1"/>
            </w14:solidFill>
          </w14:textFill>
        </w:rPr>
        <w:t>南通市总工会</w:t>
      </w:r>
      <w:r>
        <w:rPr>
          <w:rFonts w:hint="eastAsia" w:ascii="宋体" w:hAnsi="宋体" w:cs="宋体"/>
          <w:color w:val="000000" w:themeColor="text1"/>
          <w:sz w:val="24"/>
          <w:szCs w:val="24"/>
          <w:highlight w:val="none"/>
          <w14:textFill>
            <w14:solidFill>
              <w14:schemeClr w14:val="tx1"/>
            </w14:solidFill>
          </w14:textFill>
        </w:rPr>
        <w:t>（以下简称采购单位）的委托，对</w:t>
      </w:r>
      <w:r>
        <w:rPr>
          <w:rFonts w:hint="eastAsia" w:ascii="宋体" w:hAnsi="宋体" w:cs="宋体"/>
          <w:color w:val="000000" w:themeColor="text1"/>
          <w:sz w:val="24"/>
          <w:szCs w:val="24"/>
          <w:highlight w:val="none"/>
          <w:lang w:val="zh-CN"/>
          <w14:textFill>
            <w14:solidFill>
              <w14:schemeClr w14:val="tx1"/>
            </w14:solidFill>
          </w14:textFill>
        </w:rPr>
        <w:t>南通市总工会</w:t>
      </w:r>
      <w:r>
        <w:rPr>
          <w:rFonts w:hint="eastAsia" w:ascii="宋体" w:hAnsi="宋体" w:cs="宋体"/>
          <w:color w:val="000000" w:themeColor="text1"/>
          <w:sz w:val="24"/>
          <w:szCs w:val="24"/>
          <w:highlight w:val="none"/>
          <w:lang w:val="en-US" w:eastAsia="zh-CN"/>
          <w14:textFill>
            <w14:solidFill>
              <w14:schemeClr w14:val="tx1"/>
            </w14:solidFill>
          </w14:textFill>
        </w:rPr>
        <w:t>党建阵地</w:t>
      </w:r>
      <w:r>
        <w:rPr>
          <w:rFonts w:hint="eastAsia" w:ascii="宋体" w:hAnsi="宋体" w:cs="宋体"/>
          <w:color w:val="000000" w:themeColor="text1"/>
          <w:sz w:val="24"/>
          <w:szCs w:val="24"/>
          <w:highlight w:val="none"/>
          <w:lang w:val="zh-CN"/>
          <w14:textFill>
            <w14:solidFill>
              <w14:schemeClr w14:val="tx1"/>
            </w14:solidFill>
          </w14:textFill>
        </w:rPr>
        <w:t>设计方案招标项目</w:t>
      </w:r>
      <w:r>
        <w:rPr>
          <w:rFonts w:hint="eastAsia" w:ascii="宋体" w:hAnsi="宋体" w:cs="宋体"/>
          <w:color w:val="000000" w:themeColor="text1"/>
          <w:sz w:val="24"/>
          <w:szCs w:val="24"/>
          <w:highlight w:val="none"/>
          <w14:textFill>
            <w14:solidFill>
              <w14:schemeClr w14:val="tx1"/>
            </w14:solidFill>
          </w14:textFill>
        </w:rPr>
        <w:t>组织竞争性磋商采购，诚邀符合条件的潜在供应商参加该项目的竞争性磋商。</w:t>
      </w:r>
    </w:p>
    <w:p w14:paraId="3CB559D4">
      <w:pPr>
        <w:snapToGrid w:val="0"/>
        <w:spacing w:beforeLines="50" w:afterLines="50" w:line="500" w:lineRule="exact"/>
        <w:ind w:firstLine="480" w:firstLineChars="200"/>
        <w:rPr>
          <w:rFonts w:ascii="宋体"/>
          <w:b/>
          <w:color w:val="000000" w:themeColor="text1"/>
          <w:sz w:val="72"/>
          <w:szCs w:val="7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一、项目名称：</w:t>
      </w:r>
      <w:r>
        <w:rPr>
          <w:rFonts w:hint="eastAsia" w:ascii="宋体" w:hAnsi="宋体" w:cs="宋体"/>
          <w:color w:val="000000" w:themeColor="text1"/>
          <w:sz w:val="24"/>
          <w:szCs w:val="24"/>
          <w:highlight w:val="none"/>
          <w:lang w:val="zh-CN"/>
          <w14:textFill>
            <w14:solidFill>
              <w14:schemeClr w14:val="tx1"/>
            </w14:solidFill>
          </w14:textFill>
        </w:rPr>
        <w:t>南通市总工会</w:t>
      </w:r>
      <w:r>
        <w:rPr>
          <w:rFonts w:hint="eastAsia" w:ascii="宋体" w:hAnsi="宋体" w:cs="宋体"/>
          <w:color w:val="000000" w:themeColor="text1"/>
          <w:sz w:val="24"/>
          <w:szCs w:val="24"/>
          <w:highlight w:val="none"/>
          <w:lang w:val="en-US" w:eastAsia="zh-CN"/>
          <w14:textFill>
            <w14:solidFill>
              <w14:schemeClr w14:val="tx1"/>
            </w14:solidFill>
          </w14:textFill>
        </w:rPr>
        <w:t>党建阵地</w:t>
      </w:r>
      <w:r>
        <w:rPr>
          <w:rFonts w:hint="eastAsia" w:ascii="宋体" w:hAnsi="宋体" w:cs="宋体"/>
          <w:color w:val="000000" w:themeColor="text1"/>
          <w:sz w:val="24"/>
          <w:szCs w:val="24"/>
          <w:highlight w:val="none"/>
          <w:lang w:val="zh-CN"/>
          <w14:textFill>
            <w14:solidFill>
              <w14:schemeClr w14:val="tx1"/>
            </w14:solidFill>
          </w14:textFill>
        </w:rPr>
        <w:t>设计方案招标项目</w:t>
      </w:r>
    </w:p>
    <w:p w14:paraId="06B139E1">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二、采购预算：</w:t>
      </w:r>
      <w:r>
        <w:rPr>
          <w:rFonts w:hint="eastAsia" w:ascii="宋体" w:hAnsi="宋体" w:cs="宋体"/>
          <w:color w:val="000000" w:themeColor="text1"/>
          <w:sz w:val="24"/>
          <w:szCs w:val="24"/>
          <w:highlight w:val="none"/>
          <w:lang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万</w:t>
      </w:r>
    </w:p>
    <w:p w14:paraId="3868FFBC">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三、资金来源：自筹</w:t>
      </w:r>
    </w:p>
    <w:p w14:paraId="33DACB3C">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四、项目需求：详见第三章</w:t>
      </w:r>
    </w:p>
    <w:p w14:paraId="12C67237">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五、竞磋供应商资格要求 </w:t>
      </w:r>
    </w:p>
    <w:p w14:paraId="15D63B15">
      <w:pPr>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1、参加本次政府采购活动供应商必须符合《中华人民共和国政府采购法》第二十二条以及《中华人民共和国政府采购法实施条例》第十七条的相关规定及以下要求：</w:t>
      </w:r>
    </w:p>
    <w:p w14:paraId="2F3C0EC2">
      <w:pPr>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2、在中华人民共和国境内注册，具有独立承担民事责任能力的企事业法人；</w:t>
      </w:r>
    </w:p>
    <w:p w14:paraId="0970D42D">
      <w:pPr>
        <w:snapToGrid w:val="0"/>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3、本项目不接受联合体投标，投标供应商必须具备独立完成该项目建设的能力，中标后不允许分包或转包。</w:t>
      </w:r>
    </w:p>
    <w:p w14:paraId="2941BF86">
      <w:pPr>
        <w:snapToGrid w:val="0"/>
        <w:spacing w:line="500" w:lineRule="exact"/>
        <w:ind w:firstLine="482" w:firstLineChars="200"/>
        <w:rPr>
          <w:rFonts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请竞磋供应商认真对照资格要求，如不符合要求，无意或故意参与投标的，所产生的一切后果由竞磋供应商承担。对提供虚假材料的竞磋供应商作无效标处理。</w:t>
      </w:r>
      <w:r>
        <w:rPr>
          <w:rFonts w:ascii="宋体" w:hAnsi="宋体" w:cs="宋体"/>
          <w:b/>
          <w:color w:val="000000" w:themeColor="text1"/>
          <w:sz w:val="24"/>
          <w:szCs w:val="24"/>
          <w:highlight w:val="none"/>
          <w:lang w:val="zh-CN"/>
          <w14:textFill>
            <w14:solidFill>
              <w14:schemeClr w14:val="tx1"/>
            </w14:solidFill>
          </w14:textFill>
        </w:rPr>
        <w:t xml:space="preserve"> </w:t>
      </w:r>
    </w:p>
    <w:p w14:paraId="046312BD">
      <w:pPr>
        <w:shd w:val="clear" w:color="auto" w:fill="FFFFFF"/>
        <w:snapToGrid w:val="0"/>
        <w:spacing w:line="500" w:lineRule="exact"/>
        <w:ind w:firstLine="480" w:firstLineChars="200"/>
        <w:rPr>
          <w:rFonts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六、采购文件的获取：</w:t>
      </w:r>
      <w:r>
        <w:rPr>
          <w:rFonts w:hint="eastAsia" w:ascii="宋体" w:hAnsi="宋体" w:eastAsia="宋体" w:cs="宋体"/>
          <w:color w:val="000000" w:themeColor="text1"/>
          <w:sz w:val="24"/>
          <w:highlight w:val="none"/>
          <w:lang w:eastAsia="zh-CN"/>
          <w14:textFill>
            <w14:solidFill>
              <w14:schemeClr w14:val="tx1"/>
            </w14:solidFill>
          </w14:textFill>
        </w:rPr>
        <w:t>南通市总工会官</w:t>
      </w:r>
      <w:r>
        <w:rPr>
          <w:rFonts w:hint="eastAsia" w:ascii="宋体" w:hAnsi="宋体" w:eastAsia="宋体" w:cs="宋体"/>
          <w:color w:val="000000" w:themeColor="text1"/>
          <w:sz w:val="24"/>
          <w:highlight w:val="none"/>
          <w14:textFill>
            <w14:solidFill>
              <w14:schemeClr w14:val="tx1"/>
            </w14:solidFill>
          </w14:textFill>
        </w:rPr>
        <w:t>网公告栏</w:t>
      </w:r>
      <w:r>
        <w:rPr>
          <w:rFonts w:hint="eastAsia" w:ascii="宋体" w:hAnsi="宋体" w:cs="宋体"/>
          <w:color w:val="000000" w:themeColor="text1"/>
          <w:kern w:val="0"/>
          <w:sz w:val="24"/>
          <w:szCs w:val="24"/>
          <w:highlight w:val="none"/>
          <w14:textFill>
            <w14:solidFill>
              <w14:schemeClr w14:val="tx1"/>
            </w14:solidFill>
          </w14:textFill>
        </w:rPr>
        <w:t>，各投标人自行上网查询、下载。获取时间由发布招标公告的同时开始，到提交投标文件截止时结束，请各投标人自行关注，否则，引起的后果由投标人自行承担。</w:t>
      </w:r>
      <w:r>
        <w:rPr>
          <w:rFonts w:hint="eastAsia" w:ascii="宋体" w:hAnsi="宋体" w:cs="宋体"/>
          <w:color w:val="000000" w:themeColor="text1"/>
          <w:kern w:val="0"/>
          <w:sz w:val="24"/>
          <w:highlight w:val="none"/>
          <w14:textFill>
            <w14:solidFill>
              <w14:schemeClr w14:val="tx1"/>
            </w14:solidFill>
          </w14:textFill>
        </w:rPr>
        <w:t>采购文件</w:t>
      </w:r>
      <w:r>
        <w:rPr>
          <w:rFonts w:hint="eastAsia" w:ascii="宋体" w:hAnsi="宋体"/>
          <w:color w:val="000000" w:themeColor="text1"/>
          <w:kern w:val="0"/>
          <w:sz w:val="24"/>
          <w:highlight w:val="none"/>
          <w14:textFill>
            <w14:solidFill>
              <w14:schemeClr w14:val="tx1"/>
            </w14:solidFill>
          </w14:textFill>
        </w:rPr>
        <w:t>资料费每套300元，递交磋商文件时现场支付，无论是否中标，资料费概不退还（给代理机构）。</w:t>
      </w:r>
    </w:p>
    <w:p w14:paraId="31BBD1B6">
      <w:pPr>
        <w:shd w:val="clear" w:color="auto" w:fill="FFFFFF"/>
        <w:snapToGrid w:val="0"/>
        <w:spacing w:line="5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七、竞磋响应文件接收截止及评审磋商开始时间：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2024</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8</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
          <w:bCs/>
          <w:color w:val="000000" w:themeColor="text1"/>
          <w:kern w:val="0"/>
          <w:sz w:val="24"/>
          <w:szCs w:val="24"/>
          <w:highlight w:val="none"/>
          <w14:textFill>
            <w14:solidFill>
              <w14:schemeClr w14:val="tx1"/>
            </w14:solidFill>
          </w14:textFill>
        </w:rPr>
        <w:t>日14时30分</w:t>
      </w:r>
      <w:r>
        <w:rPr>
          <w:rFonts w:hint="eastAsia" w:ascii="宋体" w:hAnsi="宋体" w:cs="宋体"/>
          <w:color w:val="000000" w:themeColor="text1"/>
          <w:kern w:val="0"/>
          <w:sz w:val="24"/>
          <w:szCs w:val="24"/>
          <w:highlight w:val="none"/>
          <w14:textFill>
            <w14:solidFill>
              <w14:schemeClr w14:val="tx1"/>
            </w14:solidFill>
          </w14:textFill>
        </w:rPr>
        <w:t>。</w:t>
      </w:r>
    </w:p>
    <w:p w14:paraId="32C42AD4">
      <w:pPr>
        <w:shd w:val="clear" w:color="auto" w:fill="FFFFFF"/>
        <w:snapToGrid w:val="0"/>
        <w:spacing w:line="5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八、竞磋响应文件递交地址：</w:t>
      </w:r>
      <w:r>
        <w:rPr>
          <w:rFonts w:hint="eastAsia" w:ascii="宋体" w:hAnsi="宋体" w:cs="宋体"/>
          <w:color w:val="000000" w:themeColor="text1"/>
          <w:kern w:val="0"/>
          <w:sz w:val="24"/>
          <w:szCs w:val="24"/>
          <w:highlight w:val="none"/>
          <w:lang w:eastAsia="zh-CN"/>
          <w14:textFill>
            <w14:solidFill>
              <w14:schemeClr w14:val="tx1"/>
            </w14:solidFill>
          </w14:textFill>
        </w:rPr>
        <w:t>南通市崇川区启瑞广场1219会议室</w:t>
      </w:r>
      <w:r>
        <w:rPr>
          <w:rFonts w:hint="eastAsia" w:ascii="宋体" w:hAnsi="宋体" w:cs="宋体"/>
          <w:color w:val="000000" w:themeColor="text1"/>
          <w:kern w:val="0"/>
          <w:sz w:val="24"/>
          <w:szCs w:val="24"/>
          <w:highlight w:val="none"/>
          <w14:textFill>
            <w14:solidFill>
              <w14:schemeClr w14:val="tx1"/>
            </w14:solidFill>
          </w14:textFill>
        </w:rPr>
        <w:t>。</w:t>
      </w:r>
    </w:p>
    <w:p w14:paraId="2B1C4B57">
      <w:pPr>
        <w:shd w:val="clear" w:color="auto" w:fill="FFFFFF"/>
        <w:snapToGrid w:val="0"/>
        <w:spacing w:line="5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九、磋商文件份数：正本壹份，副本贰份。</w:t>
      </w:r>
    </w:p>
    <w:p w14:paraId="6AE60574">
      <w:pPr>
        <w:shd w:val="clear" w:color="auto" w:fill="FFFFFF"/>
        <w:snapToGrid w:val="0"/>
        <w:spacing w:line="5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十、合同签订地点：</w:t>
      </w:r>
      <w:r>
        <w:rPr>
          <w:rFonts w:hint="eastAsia" w:ascii="宋体" w:hAnsi="宋体" w:cs="宋体"/>
          <w:color w:val="000000" w:themeColor="text1"/>
          <w:kern w:val="0"/>
          <w:sz w:val="24"/>
          <w:szCs w:val="24"/>
          <w:highlight w:val="none"/>
          <w:lang w:eastAsia="zh-CN"/>
          <w14:textFill>
            <w14:solidFill>
              <w14:schemeClr w14:val="tx1"/>
            </w14:solidFill>
          </w14:textFill>
        </w:rPr>
        <w:t>南通市总工会</w:t>
      </w:r>
      <w:r>
        <w:rPr>
          <w:rFonts w:hint="eastAsia" w:ascii="宋体" w:hAnsi="宋体" w:cs="宋体"/>
          <w:color w:val="000000" w:themeColor="text1"/>
          <w:kern w:val="0"/>
          <w:sz w:val="24"/>
          <w:szCs w:val="24"/>
          <w:highlight w:val="none"/>
          <w14:textFill>
            <w14:solidFill>
              <w14:schemeClr w14:val="tx1"/>
            </w14:solidFill>
          </w14:textFill>
        </w:rPr>
        <w:t>。</w:t>
      </w:r>
    </w:p>
    <w:p w14:paraId="7769A4C0">
      <w:pPr>
        <w:shd w:val="clear" w:color="auto" w:fill="FFFFFF"/>
        <w:snapToGrid w:val="0"/>
        <w:spacing w:line="500" w:lineRule="exact"/>
        <w:ind w:firstLine="480" w:firstLineChars="200"/>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十一、</w:t>
      </w:r>
      <w:r>
        <w:rPr>
          <w:rFonts w:hint="eastAsia" w:ascii="宋体" w:hAnsi="宋体" w:cs="宋体"/>
          <w:color w:val="000000" w:themeColor="text1"/>
          <w:kern w:val="0"/>
          <w:sz w:val="24"/>
          <w:szCs w:val="24"/>
          <w:highlight w:val="none"/>
          <w:lang w:val="en-US" w:eastAsia="zh-CN"/>
          <w14:textFill>
            <w14:solidFill>
              <w14:schemeClr w14:val="tx1"/>
            </w14:solidFill>
          </w14:textFill>
        </w:rPr>
        <w:t>施工</w:t>
      </w:r>
      <w:r>
        <w:rPr>
          <w:rFonts w:hint="eastAsia" w:ascii="宋体" w:hAnsi="宋体" w:cs="宋体"/>
          <w:color w:val="000000" w:themeColor="text1"/>
          <w:kern w:val="0"/>
          <w:sz w:val="24"/>
          <w:szCs w:val="24"/>
          <w:highlight w:val="none"/>
          <w14:textFill>
            <w14:solidFill>
              <w14:schemeClr w14:val="tx1"/>
            </w14:solidFill>
          </w14:textFill>
        </w:rPr>
        <w:t>地点</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南通市总工会。</w:t>
      </w:r>
    </w:p>
    <w:p w14:paraId="43FF440F">
      <w:pPr>
        <w:snapToGrid w:val="0"/>
        <w:spacing w:beforeLines="50" w:afterLines="50" w:line="5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十二、</w:t>
      </w:r>
      <w:r>
        <w:rPr>
          <w:rFonts w:hint="eastAsia" w:ascii="宋体" w:hAnsi="宋体" w:cs="宋体"/>
          <w:color w:val="000000" w:themeColor="text1"/>
          <w:kern w:val="0"/>
          <w:sz w:val="24"/>
          <w:szCs w:val="24"/>
          <w:highlight w:val="none"/>
          <w:lang w:val="en-US" w:eastAsia="zh-CN"/>
          <w14:textFill>
            <w14:solidFill>
              <w14:schemeClr w14:val="tx1"/>
            </w14:solidFill>
          </w14:textFill>
        </w:rPr>
        <w:t>完工</w:t>
      </w:r>
      <w:r>
        <w:rPr>
          <w:rFonts w:hint="eastAsia" w:ascii="宋体" w:hAnsi="宋体" w:cs="宋体"/>
          <w:color w:val="000000" w:themeColor="text1"/>
          <w:kern w:val="0"/>
          <w:sz w:val="24"/>
          <w:szCs w:val="24"/>
          <w:highlight w:val="none"/>
          <w14:textFill>
            <w14:solidFill>
              <w14:schemeClr w14:val="tx1"/>
            </w14:solidFill>
          </w14:textFill>
        </w:rPr>
        <w:t>时间：中标通知书发出</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天内签订合同，</w:t>
      </w:r>
      <w:r>
        <w:rPr>
          <w:rFonts w:hint="eastAsia" w:ascii="宋体" w:hAnsi="宋体" w:cs="宋体"/>
          <w:color w:val="000000" w:themeColor="text1"/>
          <w:kern w:val="0"/>
          <w:sz w:val="24"/>
          <w:szCs w:val="24"/>
          <w:highlight w:val="none"/>
          <w:lang w:val="en-US" w:eastAsia="zh-CN"/>
          <w14:textFill>
            <w14:solidFill>
              <w14:schemeClr w14:val="tx1"/>
            </w14:solidFill>
          </w14:textFill>
        </w:rPr>
        <w:t>合同签订之日起20天内</w:t>
      </w:r>
      <w:r>
        <w:rPr>
          <w:rFonts w:hint="eastAsia" w:ascii="宋体" w:hAnsi="宋体" w:cs="宋体"/>
          <w:color w:val="000000" w:themeColor="text1"/>
          <w:kern w:val="0"/>
          <w:sz w:val="24"/>
          <w:szCs w:val="24"/>
          <w:highlight w:val="none"/>
          <w14:textFill>
            <w14:solidFill>
              <w14:schemeClr w14:val="tx1"/>
            </w14:solidFill>
          </w14:textFill>
        </w:rPr>
        <w:t>完成整个项目的实施。</w:t>
      </w:r>
    </w:p>
    <w:p w14:paraId="4011A978">
      <w:pPr>
        <w:snapToGrid w:val="0"/>
        <w:spacing w:line="500" w:lineRule="exact"/>
        <w:ind w:firstLine="48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十三、付款方式：</w:t>
      </w:r>
      <w:r>
        <w:rPr>
          <w:rFonts w:hint="eastAsia" w:ascii="宋体"/>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项目完成后甲方</w:t>
      </w:r>
      <w:r>
        <w:rPr>
          <w:rFonts w:hint="eastAsia" w:asciiTheme="minorEastAsia" w:hAnsiTheme="minorEastAsia"/>
          <w:color w:val="000000" w:themeColor="text1"/>
          <w:sz w:val="24"/>
          <w:szCs w:val="24"/>
          <w:highlight w:val="none"/>
          <w:lang w:val="en-US" w:eastAsia="zh-CN"/>
          <w14:textFill>
            <w14:solidFill>
              <w14:schemeClr w14:val="tx1"/>
            </w14:solidFill>
          </w14:textFill>
        </w:rPr>
        <w:t>按合同规定方式</w:t>
      </w:r>
      <w:r>
        <w:rPr>
          <w:rFonts w:hint="eastAsia" w:asciiTheme="minorEastAsia" w:hAnsiTheme="minorEastAsia"/>
          <w:color w:val="000000" w:themeColor="text1"/>
          <w:sz w:val="24"/>
          <w:szCs w:val="24"/>
          <w:highlight w:val="none"/>
          <w14:textFill>
            <w14:solidFill>
              <w14:schemeClr w14:val="tx1"/>
            </w14:solidFill>
          </w14:textFill>
        </w:rPr>
        <w:t>支付款项。</w:t>
      </w:r>
    </w:p>
    <w:p w14:paraId="447C65E7">
      <w:pPr>
        <w:snapToGrid w:val="0"/>
        <w:spacing w:beforeLines="50" w:afterLines="50"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十</w:t>
      </w:r>
      <w:r>
        <w:rPr>
          <w:rFonts w:hint="eastAsia" w:ascii="宋体"/>
          <w:color w:val="000000" w:themeColor="text1"/>
          <w:sz w:val="24"/>
          <w:szCs w:val="24"/>
          <w:highlight w:val="none"/>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中标单位中标后向代理公司支付招标代理服务费，招标代理服务费</w:t>
      </w:r>
      <w:r>
        <w:rPr>
          <w:rFonts w:hint="eastAsia" w:ascii="宋体" w:hAnsi="宋体"/>
          <w:color w:val="000000" w:themeColor="text1"/>
          <w:sz w:val="24"/>
          <w:highlight w:val="none"/>
          <w:lang w:eastAsia="zh-CN"/>
          <w14:textFill>
            <w14:solidFill>
              <w14:schemeClr w14:val="tx1"/>
            </w14:solidFill>
          </w14:textFill>
        </w:rPr>
        <w:t>为</w:t>
      </w:r>
      <w:r>
        <w:rPr>
          <w:rFonts w:hint="eastAsia" w:ascii="宋体" w:hAnsi="宋体"/>
          <w:color w:val="000000" w:themeColor="text1"/>
          <w:sz w:val="24"/>
          <w:highlight w:val="none"/>
          <w:lang w:val="en-US" w:eastAsia="zh-CN"/>
          <w14:textFill>
            <w14:solidFill>
              <w14:schemeClr w14:val="tx1"/>
            </w14:solidFill>
          </w14:textFill>
        </w:rPr>
        <w:t>5000元</w:t>
      </w:r>
      <w:r>
        <w:rPr>
          <w:rFonts w:hint="eastAsia" w:ascii="宋体" w:hAnsi="宋体"/>
          <w:color w:val="000000" w:themeColor="text1"/>
          <w:sz w:val="24"/>
          <w:highlight w:val="none"/>
          <w14:textFill>
            <w14:solidFill>
              <w14:schemeClr w14:val="tx1"/>
            </w14:solidFill>
          </w14:textFill>
        </w:rPr>
        <w:t>。</w:t>
      </w:r>
    </w:p>
    <w:p w14:paraId="39782B53">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十五、磋商保证金：</w:t>
      </w:r>
      <w:r>
        <w:rPr>
          <w:rFonts w:hint="eastAsia" w:ascii="宋体"/>
          <w:color w:val="000000" w:themeColor="text1"/>
          <w:sz w:val="24"/>
          <w:szCs w:val="24"/>
          <w:highlight w:val="none"/>
          <w14:textFill>
            <w14:solidFill>
              <w14:schemeClr w14:val="tx1"/>
            </w14:solidFill>
          </w14:textFill>
        </w:rPr>
        <w:t>本项目不收投标保证金，采购文件中涉及投标保证金的事项，均按免收投标保证金执行。</w:t>
      </w:r>
    </w:p>
    <w:p w14:paraId="470BB249">
      <w:pPr>
        <w:pStyle w:val="10"/>
        <w:snapToGrid w:val="0"/>
        <w:spacing w:line="500" w:lineRule="exact"/>
        <w:ind w:firstLine="480" w:firstLineChars="20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六</w:t>
      </w:r>
      <w:r>
        <w:rPr>
          <w:rFonts w:hint="eastAsia" w:ascii="宋体" w:cs="宋体"/>
          <w:color w:val="000000" w:themeColor="text1"/>
          <w:highlight w:val="none"/>
          <w14:textFill>
            <w14:solidFill>
              <w14:schemeClr w14:val="tx1"/>
            </w14:solidFill>
          </w14:textFill>
        </w:rPr>
        <w:t>、磋商人如对本采购文件需要咨询时，请与采购人</w:t>
      </w:r>
      <w:r>
        <w:rPr>
          <w:rFonts w:hint="eastAsia" w:ascii="宋体" w:cs="宋体"/>
          <w:color w:val="000000" w:themeColor="text1"/>
          <w:highlight w:val="none"/>
          <w:lang w:eastAsia="zh-CN"/>
          <w14:textFill>
            <w14:solidFill>
              <w14:schemeClr w14:val="tx1"/>
            </w14:solidFill>
          </w14:textFill>
        </w:rPr>
        <w:t>南通市总</w:t>
      </w:r>
      <w:r>
        <w:rPr>
          <w:rFonts w:hint="eastAsia" w:ascii="宋体" w:cs="宋体"/>
          <w:b w:val="0"/>
          <w:bCs w:val="0"/>
          <w:color w:val="000000" w:themeColor="text1"/>
          <w:highlight w:val="none"/>
          <w:lang w:eastAsia="zh-CN"/>
          <w14:textFill>
            <w14:solidFill>
              <w14:schemeClr w14:val="tx1"/>
            </w14:solidFill>
          </w14:textFill>
        </w:rPr>
        <w:t>工会</w:t>
      </w:r>
      <w:r>
        <w:rPr>
          <w:rFonts w:hint="eastAsia" w:ascii="宋体" w:cs="宋体"/>
          <w:b w:val="0"/>
          <w:bCs w:val="0"/>
          <w:color w:val="000000" w:themeColor="text1"/>
          <w:highlight w:val="none"/>
          <w14:textFill>
            <w14:solidFill>
              <w14:schemeClr w14:val="tx1"/>
            </w14:solidFill>
          </w14:textFill>
        </w:rPr>
        <w:t>联系</w:t>
      </w:r>
      <w:r>
        <w:rPr>
          <w:rFonts w:hint="eastAsia" w:ascii="宋体" w:hAnsi="宋体" w:cs="宋体"/>
          <w:b w:val="0"/>
          <w:bCs w:val="0"/>
          <w:color w:val="000000" w:themeColor="text1"/>
          <w:szCs w:val="24"/>
          <w:highlight w:val="none"/>
          <w14:textFill>
            <w14:solidFill>
              <w14:schemeClr w14:val="tx1"/>
            </w14:solidFill>
          </w14:textFill>
        </w:rPr>
        <w:t xml:space="preserve">人： </w:t>
      </w:r>
      <w:r>
        <w:rPr>
          <w:rFonts w:hint="eastAsia" w:ascii="宋体" w:hAnsi="宋体" w:cs="宋体"/>
          <w:b w:val="0"/>
          <w:bCs w:val="0"/>
          <w:color w:val="000000" w:themeColor="text1"/>
          <w:szCs w:val="24"/>
          <w:highlight w:val="none"/>
          <w:lang w:eastAsia="zh-CN"/>
          <w14:textFill>
            <w14:solidFill>
              <w14:schemeClr w14:val="tx1"/>
            </w14:solidFill>
          </w14:textFill>
        </w:rPr>
        <w:t>周女士，</w:t>
      </w:r>
      <w:r>
        <w:rPr>
          <w:rFonts w:hint="eastAsia" w:ascii="宋体" w:hAnsi="宋体" w:cs="宋体"/>
          <w:b w:val="0"/>
          <w:bCs w:val="0"/>
          <w:color w:val="000000" w:themeColor="text1"/>
          <w:szCs w:val="24"/>
          <w:highlight w:val="none"/>
          <w14:textFill>
            <w14:solidFill>
              <w14:schemeClr w14:val="tx1"/>
            </w14:solidFill>
          </w14:textFill>
        </w:rPr>
        <w:t>联系电话：</w:t>
      </w:r>
      <w:bookmarkStart w:id="1" w:name="_Toc517717026"/>
      <w:r>
        <w:rPr>
          <w:rFonts w:hint="eastAsia" w:ascii="宋体" w:hAnsi="宋体" w:cs="宋体"/>
          <w:b w:val="0"/>
          <w:bCs w:val="0"/>
          <w:color w:val="000000" w:themeColor="text1"/>
          <w:szCs w:val="24"/>
          <w:highlight w:val="none"/>
          <w14:textFill>
            <w14:solidFill>
              <w14:schemeClr w14:val="tx1"/>
            </w14:solidFill>
          </w14:textFill>
        </w:rPr>
        <w:t>0513-</w:t>
      </w:r>
      <w:r>
        <w:rPr>
          <w:rFonts w:hint="eastAsia" w:ascii="宋体" w:hAnsi="宋体" w:cs="宋体"/>
          <w:b w:val="0"/>
          <w:bCs w:val="0"/>
          <w:color w:val="000000" w:themeColor="text1"/>
          <w:szCs w:val="24"/>
          <w:highlight w:val="none"/>
          <w:lang w:val="en-US" w:eastAsia="zh-CN"/>
          <w14:textFill>
            <w14:solidFill>
              <w14:schemeClr w14:val="tx1"/>
            </w14:solidFill>
          </w14:textFill>
        </w:rPr>
        <w:t>59002623或南通建辰工程咨询有限公司联系人：余女士，联系电话：0513-89010636电联沟通。</w:t>
      </w:r>
    </w:p>
    <w:p w14:paraId="0FF27BBA">
      <w:pPr>
        <w:rPr>
          <w:color w:val="000000" w:themeColor="text1"/>
          <w:highlight w:val="none"/>
          <w14:textFill>
            <w14:solidFill>
              <w14:schemeClr w14:val="tx1"/>
            </w14:solidFill>
          </w14:textFill>
        </w:rPr>
      </w:pPr>
    </w:p>
    <w:p w14:paraId="1EA21E0C">
      <w:pPr>
        <w:rPr>
          <w:color w:val="000000" w:themeColor="text1"/>
          <w:highlight w:val="none"/>
          <w14:textFill>
            <w14:solidFill>
              <w14:schemeClr w14:val="tx1"/>
            </w14:solidFill>
          </w14:textFill>
        </w:rPr>
      </w:pPr>
    </w:p>
    <w:p w14:paraId="0DDEBA04">
      <w:pPr>
        <w:rPr>
          <w:color w:val="000000" w:themeColor="text1"/>
          <w:highlight w:val="none"/>
          <w14:textFill>
            <w14:solidFill>
              <w14:schemeClr w14:val="tx1"/>
            </w14:solidFill>
          </w14:textFill>
        </w:rPr>
      </w:pPr>
    </w:p>
    <w:p w14:paraId="2EF39753">
      <w:pPr>
        <w:pStyle w:val="2"/>
        <w:spacing w:before="240" w:after="240" w:line="360" w:lineRule="auto"/>
        <w:rPr>
          <w:color w:val="000000" w:themeColor="text1"/>
          <w:highlight w:val="none"/>
          <w14:textFill>
            <w14:solidFill>
              <w14:schemeClr w14:val="tx1"/>
            </w14:solidFill>
          </w14:textFill>
        </w:rPr>
      </w:pPr>
    </w:p>
    <w:p w14:paraId="1DB552B8">
      <w:pPr>
        <w:rPr>
          <w:color w:val="000000" w:themeColor="text1"/>
          <w:highlight w:val="none"/>
          <w14:textFill>
            <w14:solidFill>
              <w14:schemeClr w14:val="tx1"/>
            </w14:solidFill>
          </w14:textFill>
        </w:rPr>
      </w:pPr>
    </w:p>
    <w:p w14:paraId="47F56AF3">
      <w:pPr>
        <w:rPr>
          <w:color w:val="000000" w:themeColor="text1"/>
          <w:highlight w:val="none"/>
          <w14:textFill>
            <w14:solidFill>
              <w14:schemeClr w14:val="tx1"/>
            </w14:solidFill>
          </w14:textFill>
        </w:rPr>
      </w:pPr>
    </w:p>
    <w:p w14:paraId="31B83815">
      <w:pPr>
        <w:rPr>
          <w:color w:val="000000" w:themeColor="text1"/>
          <w:highlight w:val="none"/>
          <w14:textFill>
            <w14:solidFill>
              <w14:schemeClr w14:val="tx1"/>
            </w14:solidFill>
          </w14:textFill>
        </w:rPr>
      </w:pPr>
    </w:p>
    <w:p w14:paraId="3AC484FF">
      <w:pPr>
        <w:rPr>
          <w:color w:val="000000" w:themeColor="text1"/>
          <w:highlight w:val="none"/>
          <w14:textFill>
            <w14:solidFill>
              <w14:schemeClr w14:val="tx1"/>
            </w14:solidFill>
          </w14:textFill>
        </w:rPr>
      </w:pPr>
    </w:p>
    <w:p w14:paraId="1182349D">
      <w:pPr>
        <w:rPr>
          <w:color w:val="000000" w:themeColor="text1"/>
          <w:highlight w:val="none"/>
          <w14:textFill>
            <w14:solidFill>
              <w14:schemeClr w14:val="tx1"/>
            </w14:solidFill>
          </w14:textFill>
        </w:rPr>
      </w:pPr>
    </w:p>
    <w:p w14:paraId="7FC4AF3E">
      <w:pPr>
        <w:rPr>
          <w:color w:val="000000" w:themeColor="text1"/>
          <w:highlight w:val="none"/>
          <w14:textFill>
            <w14:solidFill>
              <w14:schemeClr w14:val="tx1"/>
            </w14:solidFill>
          </w14:textFill>
        </w:rPr>
      </w:pPr>
    </w:p>
    <w:p w14:paraId="7E6A6911">
      <w:pPr>
        <w:rPr>
          <w:color w:val="000000" w:themeColor="text1"/>
          <w:highlight w:val="none"/>
          <w14:textFill>
            <w14:solidFill>
              <w14:schemeClr w14:val="tx1"/>
            </w14:solidFill>
          </w14:textFill>
        </w:rPr>
      </w:pPr>
    </w:p>
    <w:p w14:paraId="3B94C5BC">
      <w:pPr>
        <w:rPr>
          <w:color w:val="000000" w:themeColor="text1"/>
          <w:highlight w:val="none"/>
          <w14:textFill>
            <w14:solidFill>
              <w14:schemeClr w14:val="tx1"/>
            </w14:solidFill>
          </w14:textFill>
        </w:rPr>
      </w:pPr>
    </w:p>
    <w:p w14:paraId="38934F11">
      <w:pPr>
        <w:pStyle w:val="22"/>
        <w:rPr>
          <w:color w:val="000000" w:themeColor="text1"/>
          <w:highlight w:val="none"/>
          <w14:textFill>
            <w14:solidFill>
              <w14:schemeClr w14:val="tx1"/>
            </w14:solidFill>
          </w14:textFill>
        </w:rPr>
      </w:pPr>
    </w:p>
    <w:p w14:paraId="4DD644D8">
      <w:pPr>
        <w:rPr>
          <w:color w:val="000000" w:themeColor="text1"/>
          <w:highlight w:val="none"/>
          <w14:textFill>
            <w14:solidFill>
              <w14:schemeClr w14:val="tx1"/>
            </w14:solidFill>
          </w14:textFill>
        </w:rPr>
      </w:pPr>
    </w:p>
    <w:p w14:paraId="081ED8CE">
      <w:pPr>
        <w:pStyle w:val="22"/>
        <w:rPr>
          <w:color w:val="000000" w:themeColor="text1"/>
          <w:highlight w:val="none"/>
          <w14:textFill>
            <w14:solidFill>
              <w14:schemeClr w14:val="tx1"/>
            </w14:solidFill>
          </w14:textFill>
        </w:rPr>
      </w:pPr>
    </w:p>
    <w:p w14:paraId="56A69090">
      <w:pPr>
        <w:rPr>
          <w:highlight w:val="none"/>
        </w:rPr>
      </w:pPr>
    </w:p>
    <w:p w14:paraId="55113254">
      <w:pPr>
        <w:rPr>
          <w:color w:val="000000" w:themeColor="text1"/>
          <w:highlight w:val="none"/>
          <w14:textFill>
            <w14:solidFill>
              <w14:schemeClr w14:val="tx1"/>
            </w14:solidFill>
          </w14:textFill>
        </w:rPr>
      </w:pPr>
    </w:p>
    <w:p w14:paraId="50ADD874">
      <w:pPr>
        <w:pStyle w:val="22"/>
        <w:rPr>
          <w:color w:val="000000" w:themeColor="text1"/>
          <w:highlight w:val="none"/>
          <w14:textFill>
            <w14:solidFill>
              <w14:schemeClr w14:val="tx1"/>
            </w14:solidFill>
          </w14:textFill>
        </w:rPr>
      </w:pPr>
    </w:p>
    <w:p w14:paraId="48427F2C">
      <w:pPr>
        <w:rPr>
          <w:color w:val="000000" w:themeColor="text1"/>
          <w:highlight w:val="none"/>
          <w14:textFill>
            <w14:solidFill>
              <w14:schemeClr w14:val="tx1"/>
            </w14:solidFill>
          </w14:textFill>
        </w:rPr>
      </w:pPr>
    </w:p>
    <w:p w14:paraId="59FE64C5">
      <w:pPr>
        <w:pStyle w:val="22"/>
        <w:rPr>
          <w:color w:val="000000" w:themeColor="text1"/>
          <w:highlight w:val="none"/>
          <w14:textFill>
            <w14:solidFill>
              <w14:schemeClr w14:val="tx1"/>
            </w14:solidFill>
          </w14:textFill>
        </w:rPr>
      </w:pPr>
    </w:p>
    <w:p w14:paraId="1BACC53A">
      <w:pPr>
        <w:rPr>
          <w:highlight w:val="none"/>
        </w:rPr>
      </w:pPr>
    </w:p>
    <w:p w14:paraId="5DB188B2">
      <w:pPr>
        <w:rPr>
          <w:color w:val="000000" w:themeColor="text1"/>
          <w:highlight w:val="none"/>
          <w14:textFill>
            <w14:solidFill>
              <w14:schemeClr w14:val="tx1"/>
            </w14:solidFill>
          </w14:textFill>
        </w:rPr>
      </w:pPr>
    </w:p>
    <w:p w14:paraId="4F50EEF4">
      <w:pPr>
        <w:rPr>
          <w:color w:val="000000" w:themeColor="text1"/>
          <w:highlight w:val="none"/>
          <w14:textFill>
            <w14:solidFill>
              <w14:schemeClr w14:val="tx1"/>
            </w14:solidFill>
          </w14:textFill>
        </w:rPr>
      </w:pPr>
    </w:p>
    <w:p w14:paraId="220272F7">
      <w:pPr>
        <w:pStyle w:val="22"/>
        <w:rPr>
          <w:highlight w:val="none"/>
        </w:rPr>
      </w:pPr>
    </w:p>
    <w:p w14:paraId="556C3E7B">
      <w:pPr>
        <w:rPr>
          <w:color w:val="000000" w:themeColor="text1"/>
          <w:highlight w:val="none"/>
          <w14:textFill>
            <w14:solidFill>
              <w14:schemeClr w14:val="tx1"/>
            </w14:solidFill>
          </w14:textFill>
        </w:rPr>
      </w:pPr>
    </w:p>
    <w:p w14:paraId="5434A3E3">
      <w:pPr>
        <w:pStyle w:val="22"/>
        <w:rPr>
          <w:color w:val="000000" w:themeColor="text1"/>
          <w:highlight w:val="none"/>
          <w14:textFill>
            <w14:solidFill>
              <w14:schemeClr w14:val="tx1"/>
            </w14:solidFill>
          </w14:textFill>
        </w:rPr>
      </w:pPr>
    </w:p>
    <w:p w14:paraId="4479906A">
      <w:pPr>
        <w:rPr>
          <w:highlight w:val="none"/>
        </w:rPr>
      </w:pPr>
    </w:p>
    <w:p w14:paraId="38F8F162">
      <w:pPr>
        <w:pStyle w:val="2"/>
        <w:spacing w:before="240" w:after="240" w:line="360" w:lineRule="auto"/>
        <w:ind w:firstLine="1260" w:firstLineChars="600"/>
        <w:rPr>
          <w:rFonts w:asciiTheme="minorHAnsi" w:hAnsiTheme="minorHAnsi" w:eastAsiaTheme="minorEastAsia" w:cstheme="minorBidi"/>
          <w:b w:val="0"/>
          <w:bCs w:val="0"/>
          <w:color w:val="000000" w:themeColor="text1"/>
          <w:kern w:val="2"/>
          <w:sz w:val="21"/>
          <w:szCs w:val="22"/>
          <w:highlight w:val="none"/>
          <w14:textFill>
            <w14:solidFill>
              <w14:schemeClr w14:val="tx1"/>
            </w14:solidFill>
          </w14:textFill>
        </w:rPr>
      </w:pPr>
    </w:p>
    <w:p w14:paraId="0601C165">
      <w:pPr>
        <w:pStyle w:val="2"/>
        <w:spacing w:before="240" w:after="240" w:line="360" w:lineRule="auto"/>
        <w:ind w:firstLine="2650" w:firstLineChars="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磋商供应商须知</w:t>
      </w:r>
      <w:bookmarkEnd w:id="1"/>
    </w:p>
    <w:p w14:paraId="36E72654">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一、招标文件由招标人解释</w:t>
      </w:r>
    </w:p>
    <w:p w14:paraId="377FED72">
      <w:pPr>
        <w:snapToGrid w:val="0"/>
        <w:spacing w:line="500" w:lineRule="exact"/>
        <w:ind w:firstLine="480" w:firstLineChars="200"/>
        <w:rPr>
          <w:rFonts w:asci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、磋商供应商应仔细检查招标文件的所有内容，如有资格要求和技术参数含有倾向性或排他性等表述的，应在发布招标公告和招标文件后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日内以书面形式提出询问或疑问，未在规定的</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日内提出询问或疑问的，视同磋商供应商理解并接受本招标文件所有内容，并由此引起的投标损失自负。磋商供应商不得在招标结束后针对招标文件所有内容提出质疑事项。</w:t>
      </w:r>
      <w:r>
        <w:rPr>
          <w:rFonts w:hint="eastAsia" w:ascii="宋体" w:hAnsi="宋体"/>
          <w:b/>
          <w:color w:val="000000" w:themeColor="text1"/>
          <w:sz w:val="24"/>
          <w:szCs w:val="24"/>
          <w:highlight w:val="none"/>
          <w14:textFill>
            <w14:solidFill>
              <w14:schemeClr w14:val="tx1"/>
            </w14:solidFill>
          </w14:textFill>
        </w:rPr>
        <w:t>非书面形式的不作为日后质疑提出的依据。</w:t>
      </w:r>
    </w:p>
    <w:p w14:paraId="5CA26178">
      <w:pPr>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磋商供应商应认真审阅招标文件中所有的事项、格式、条款和规范要求等，如果磋商供应商没有按照招标文件要求提交投标文件，或者投标文件没有对招标文件做出实质性响应，其投标将被拒绝，磋商供应商自行承担责任。</w:t>
      </w:r>
    </w:p>
    <w:p w14:paraId="228817BC">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二、招标文件的澄清、修改、答疑</w:t>
      </w:r>
    </w:p>
    <w:p w14:paraId="09B5496E">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、招标人有权对发出的招标文件进行必要的澄清或修改。</w:t>
      </w:r>
    </w:p>
    <w:p w14:paraId="1008D10D">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、招标人可视情取消、延长相关时间，不负责解释。</w:t>
      </w:r>
    </w:p>
    <w:p w14:paraId="01B9AD8A">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、招标人对招标文件的澄清、修改将构成招标文件的一部分，对磋商供应商具有约束力。</w:t>
      </w:r>
    </w:p>
    <w:p w14:paraId="0C079538">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、磋商供应商由于对招标文件的任何推论和误解以及招标人对有关问题的口头解释所造成的后果，均由磋商供应商自负。</w:t>
      </w:r>
    </w:p>
    <w:p w14:paraId="7909139F">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、招标人或采购单位视情组织答疑会。</w:t>
      </w:r>
    </w:p>
    <w:p w14:paraId="25FDB2B4">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三、磋商报价</w:t>
      </w:r>
    </w:p>
    <w:p w14:paraId="5ECE7CBD">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、磋商结束后，供应商就所有内容进行最后报价。</w:t>
      </w:r>
      <w:r>
        <w:rPr>
          <w:rFonts w:hint="eastAsia" w:ascii="宋体" w:hAnsi="宋体" w:cs="宋体"/>
          <w:color w:val="000000" w:themeColor="text1"/>
          <w:sz w:val="24"/>
          <w:szCs w:val="24"/>
          <w:highlight w:val="none"/>
          <w14:textFill>
            <w14:solidFill>
              <w14:schemeClr w14:val="tx1"/>
            </w14:solidFill>
          </w14:textFill>
        </w:rPr>
        <w:t>除非在磋商中磋商小组对采购单位需求内容作了调整增加，或对采购内容作了实质性变更，否则采购单位不接受供应商高于自己前一轮的磋商报价。</w:t>
      </w:r>
    </w:p>
    <w:p w14:paraId="2EEA710F">
      <w:pPr>
        <w:snapToGrid w:val="0"/>
        <w:spacing w:beforeLines="50" w:afterLines="50" w:line="500" w:lineRule="exact"/>
        <w:ind w:firstLine="470" w:firstLineChars="196"/>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、最后报价应包括本项目的全部费用</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含一切必须的辅助材料费用</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及相关服务费等。</w:t>
      </w:r>
      <w:r>
        <w:rPr>
          <w:rFonts w:ascii="宋体" w:hAnsi="宋体"/>
          <w:color w:val="000000" w:themeColor="text1"/>
          <w:sz w:val="24"/>
          <w:szCs w:val="24"/>
          <w:highlight w:val="none"/>
          <w14:textFill>
            <w14:solidFill>
              <w14:schemeClr w14:val="tx1"/>
            </w14:solidFill>
          </w14:textFill>
        </w:rPr>
        <w:t xml:space="preserve"> </w:t>
      </w:r>
    </w:p>
    <w:p w14:paraId="28B62D07">
      <w:pPr>
        <w:snapToGrid w:val="0"/>
        <w:spacing w:beforeLines="50" w:afterLines="50" w:line="500" w:lineRule="exact"/>
        <w:ind w:firstLine="470" w:firstLineChars="196"/>
        <w:rPr>
          <w:rFonts w:asci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、最后报价将作为磋商小组评定成交供应商的组成依据。</w:t>
      </w:r>
    </w:p>
    <w:p w14:paraId="558469E1">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w:t>
      </w:r>
      <w:r>
        <w:rPr>
          <w:rFonts w:hint="eastAsia" w:ascii="宋体" w:hAnsi="宋体" w:cs="宋体"/>
          <w:b/>
          <w:bCs/>
          <w:snapToGrid w:val="0"/>
          <w:color w:val="000000" w:themeColor="text1"/>
          <w:kern w:val="0"/>
          <w:sz w:val="24"/>
          <w:highlight w:val="none"/>
          <w14:textFill>
            <w14:solidFill>
              <w14:schemeClr w14:val="tx1"/>
            </w14:solidFill>
          </w14:textFill>
        </w:rPr>
        <w:t>磋商文件的组成：</w:t>
      </w:r>
      <w:bookmarkStart w:id="19" w:name="_GoBack"/>
      <w:bookmarkEnd w:id="19"/>
    </w:p>
    <w:p w14:paraId="3F966AE5">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、磋商人应当按照采购文件要求编制磋商文件，磋商文件应对采购文件提出的实质性要求和条件做出响应。</w:t>
      </w:r>
    </w:p>
    <w:p w14:paraId="1465CBFB">
      <w:pPr>
        <w:shd w:val="clear" w:color="auto" w:fill="FFFFFF"/>
        <w:adjustRightInd w:val="0"/>
        <w:snapToGrid w:val="0"/>
        <w:spacing w:line="500" w:lineRule="exact"/>
        <w:ind w:firstLine="488" w:firstLineChars="200"/>
        <w:rPr>
          <w:rFonts w:ascii="宋体" w:cs="宋体"/>
          <w:snapToGrid w:val="0"/>
          <w:color w:val="000000" w:themeColor="text1"/>
          <w:spacing w:val="2"/>
          <w:kern w:val="0"/>
          <w:sz w:val="24"/>
          <w:highlight w:val="none"/>
          <w14:textFill>
            <w14:solidFill>
              <w14:schemeClr w14:val="tx1"/>
            </w14:solidFill>
          </w14:textFill>
        </w:rPr>
      </w:pPr>
      <w:r>
        <w:rPr>
          <w:rFonts w:ascii="宋体" w:hAnsi="宋体" w:cs="宋体"/>
          <w:snapToGrid w:val="0"/>
          <w:color w:val="000000" w:themeColor="text1"/>
          <w:spacing w:val="2"/>
          <w:kern w:val="0"/>
          <w:sz w:val="24"/>
          <w:highlight w:val="none"/>
          <w14:textFill>
            <w14:solidFill>
              <w14:schemeClr w14:val="tx1"/>
            </w14:solidFill>
          </w14:textFill>
        </w:rPr>
        <w:t>2</w:t>
      </w:r>
      <w:r>
        <w:rPr>
          <w:rFonts w:hint="eastAsia" w:ascii="宋体" w:hAnsi="宋体" w:cs="宋体"/>
          <w:snapToGrid w:val="0"/>
          <w:color w:val="000000" w:themeColor="text1"/>
          <w:spacing w:val="2"/>
          <w:kern w:val="0"/>
          <w:sz w:val="24"/>
          <w:highlight w:val="none"/>
          <w14:textFill>
            <w14:solidFill>
              <w14:schemeClr w14:val="tx1"/>
            </w14:solidFill>
          </w14:textFill>
        </w:rPr>
        <w:t>、磋商文件、采购人与磋商人之间与磋商有关的所有往来通知、函件等文书均应使用中文，磋商人随磋商文件提供的证明文件和资料可以使用其它语言，但必须附中文译文。除技术规范另有规定外，磋商文件使用的度量衡单位均采用中华人民共和国法定计量单位。</w:t>
      </w:r>
    </w:p>
    <w:p w14:paraId="4EE6E2AC">
      <w:pPr>
        <w:shd w:val="clear" w:color="auto" w:fill="FFFFFF"/>
        <w:adjustRightInd w:val="0"/>
        <w:snapToGrid w:val="0"/>
        <w:spacing w:line="500" w:lineRule="exact"/>
        <w:ind w:firstLine="488" w:firstLineChars="200"/>
        <w:rPr>
          <w:rFonts w:ascii="宋体" w:cs="宋体"/>
          <w:snapToGrid w:val="0"/>
          <w:color w:val="000000" w:themeColor="text1"/>
          <w:spacing w:val="2"/>
          <w:kern w:val="0"/>
          <w:sz w:val="24"/>
          <w:highlight w:val="none"/>
          <w14:textFill>
            <w14:solidFill>
              <w14:schemeClr w14:val="tx1"/>
            </w14:solidFill>
          </w14:textFill>
        </w:rPr>
      </w:pPr>
      <w:r>
        <w:rPr>
          <w:rFonts w:ascii="宋体" w:hAnsi="宋体" w:cs="宋体"/>
          <w:snapToGrid w:val="0"/>
          <w:color w:val="000000" w:themeColor="text1"/>
          <w:spacing w:val="2"/>
          <w:kern w:val="0"/>
          <w:sz w:val="24"/>
          <w:highlight w:val="none"/>
          <w14:textFill>
            <w14:solidFill>
              <w14:schemeClr w14:val="tx1"/>
            </w14:solidFill>
          </w14:textFill>
        </w:rPr>
        <w:t>3</w:t>
      </w:r>
      <w:r>
        <w:rPr>
          <w:rFonts w:hint="eastAsia" w:ascii="宋体" w:hAnsi="宋体" w:cs="宋体"/>
          <w:snapToGrid w:val="0"/>
          <w:color w:val="000000" w:themeColor="text1"/>
          <w:spacing w:val="2"/>
          <w:kern w:val="0"/>
          <w:sz w:val="24"/>
          <w:highlight w:val="none"/>
          <w14:textFill>
            <w14:solidFill>
              <w14:schemeClr w14:val="tx1"/>
            </w14:solidFill>
          </w14:textFill>
        </w:rPr>
        <w:t>、磋商人的磋商文件应包括由资格审查资料原件、资格审查资料、技术商务标文件、报价文件四部分组成，具体应包括以下内容：</w:t>
      </w:r>
    </w:p>
    <w:p w14:paraId="21169538">
      <w:pPr>
        <w:shd w:val="clear" w:color="auto" w:fill="FFFFFF"/>
        <w:adjustRightInd w:val="0"/>
        <w:snapToGrid w:val="0"/>
        <w:spacing w:line="500" w:lineRule="exact"/>
        <w:ind w:firstLine="490" w:firstLineChars="200"/>
        <w:rPr>
          <w:rFonts w:ascii="宋体" w:cs="宋体"/>
          <w:b/>
          <w:bCs/>
          <w:snapToGrid w:val="0"/>
          <w:color w:val="000000" w:themeColor="text1"/>
          <w:spacing w:val="2"/>
          <w:kern w:val="0"/>
          <w:sz w:val="24"/>
          <w:highlight w:val="none"/>
          <w14:textFill>
            <w14:solidFill>
              <w14:schemeClr w14:val="tx1"/>
            </w14:solidFill>
          </w14:textFill>
        </w:rPr>
      </w:pPr>
      <w:r>
        <w:rPr>
          <w:rFonts w:ascii="宋体" w:hAnsi="宋体" w:cs="宋体"/>
          <w:b/>
          <w:bCs/>
          <w:snapToGrid w:val="0"/>
          <w:color w:val="000000" w:themeColor="text1"/>
          <w:spacing w:val="2"/>
          <w:kern w:val="0"/>
          <w:sz w:val="24"/>
          <w:highlight w:val="none"/>
          <w14:textFill>
            <w14:solidFill>
              <w14:schemeClr w14:val="tx1"/>
            </w14:solidFill>
          </w14:textFill>
        </w:rPr>
        <w:t>3.1</w:t>
      </w:r>
      <w:r>
        <w:rPr>
          <w:rFonts w:hint="eastAsia" w:ascii="宋体" w:hAnsi="宋体" w:cs="宋体"/>
          <w:b/>
          <w:bCs/>
          <w:snapToGrid w:val="0"/>
          <w:color w:val="000000" w:themeColor="text1"/>
          <w:spacing w:val="2"/>
          <w:kern w:val="0"/>
          <w:sz w:val="24"/>
          <w:highlight w:val="none"/>
          <w14:textFill>
            <w14:solidFill>
              <w14:schemeClr w14:val="tx1"/>
            </w14:solidFill>
          </w14:textFill>
        </w:rPr>
        <w:t>资格审查资料包（提供正本壹份、副本贰份，单独密封在一个封袋中，在封袋上加盖磋商供应商和法定代表人</w:t>
      </w:r>
      <w:r>
        <w:rPr>
          <w:rFonts w:ascii="宋体" w:hAnsi="宋体" w:cs="宋体"/>
          <w:b/>
          <w:bCs/>
          <w:snapToGrid w:val="0"/>
          <w:color w:val="000000" w:themeColor="text1"/>
          <w:spacing w:val="2"/>
          <w:kern w:val="0"/>
          <w:sz w:val="24"/>
          <w:highlight w:val="none"/>
          <w14:textFill>
            <w14:solidFill>
              <w14:schemeClr w14:val="tx1"/>
            </w14:solidFill>
          </w14:textFill>
        </w:rPr>
        <w:t>(</w:t>
      </w:r>
      <w:r>
        <w:rPr>
          <w:rFonts w:hint="eastAsia" w:ascii="宋体" w:hAnsi="宋体" w:cs="宋体"/>
          <w:b/>
          <w:bCs/>
          <w:snapToGrid w:val="0"/>
          <w:color w:val="000000" w:themeColor="text1"/>
          <w:spacing w:val="2"/>
          <w:kern w:val="0"/>
          <w:sz w:val="24"/>
          <w:highlight w:val="none"/>
          <w14:textFill>
            <w14:solidFill>
              <w14:schemeClr w14:val="tx1"/>
            </w14:solidFill>
          </w14:textFill>
        </w:rPr>
        <w:t>或授权委托人</w:t>
      </w:r>
      <w:r>
        <w:rPr>
          <w:rFonts w:ascii="宋体" w:hAnsi="宋体" w:cs="宋体"/>
          <w:b/>
          <w:bCs/>
          <w:snapToGrid w:val="0"/>
          <w:color w:val="000000" w:themeColor="text1"/>
          <w:spacing w:val="2"/>
          <w:kern w:val="0"/>
          <w:sz w:val="24"/>
          <w:highlight w:val="none"/>
          <w14:textFill>
            <w14:solidFill>
              <w14:schemeClr w14:val="tx1"/>
            </w14:solidFill>
          </w14:textFill>
        </w:rPr>
        <w:t>)</w:t>
      </w:r>
      <w:r>
        <w:rPr>
          <w:rFonts w:hint="eastAsia" w:ascii="宋体" w:hAnsi="宋体" w:cs="宋体"/>
          <w:b/>
          <w:bCs/>
          <w:snapToGrid w:val="0"/>
          <w:color w:val="000000" w:themeColor="text1"/>
          <w:spacing w:val="2"/>
          <w:kern w:val="0"/>
          <w:sz w:val="24"/>
          <w:highlight w:val="none"/>
          <w14:textFill>
            <w14:solidFill>
              <w14:schemeClr w14:val="tx1"/>
            </w14:solidFill>
          </w14:textFill>
        </w:rPr>
        <w:t>印章或签字）：</w:t>
      </w:r>
    </w:p>
    <w:p w14:paraId="49EFDFDE">
      <w:pPr>
        <w:shd w:val="clear" w:color="auto" w:fill="FFFFFF"/>
        <w:adjustRightInd w:val="0"/>
        <w:snapToGrid w:val="0"/>
        <w:spacing w:line="500" w:lineRule="exact"/>
        <w:ind w:firstLine="480" w:firstLineChars="200"/>
        <w:rPr>
          <w:rFonts w:ascii="宋体" w:cs="宋体"/>
          <w:b/>
          <w:bCs/>
          <w:snapToGrid w:val="0"/>
          <w:color w:val="000000" w:themeColor="text1"/>
          <w:spacing w:val="2"/>
          <w:kern w:val="0"/>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）投标承诺书原件（格式见附件）；</w:t>
      </w:r>
    </w:p>
    <w:p w14:paraId="6E716196">
      <w:pPr>
        <w:shd w:val="clear" w:color="auto" w:fill="FFFFFF"/>
        <w:adjustRightInd w:val="0"/>
        <w:snapToGrid w:val="0"/>
        <w:spacing w:line="500" w:lineRule="exact"/>
        <w:ind w:firstLine="488" w:firstLineChars="200"/>
        <w:rPr>
          <w:rFonts w:ascii="宋体" w:hAnsi="宋体" w:cs="宋体"/>
          <w:snapToGrid w:val="0"/>
          <w:color w:val="000000" w:themeColor="text1"/>
          <w:spacing w:val="2"/>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w:t>
      </w:r>
      <w:r>
        <w:rPr>
          <w:rFonts w:ascii="宋体" w:hAnsi="宋体" w:cs="宋体"/>
          <w:snapToGrid w:val="0"/>
          <w:color w:val="000000" w:themeColor="text1"/>
          <w:spacing w:val="2"/>
          <w:kern w:val="0"/>
          <w:sz w:val="24"/>
          <w:highlight w:val="none"/>
          <w14:textFill>
            <w14:solidFill>
              <w14:schemeClr w14:val="tx1"/>
            </w14:solidFill>
          </w14:textFill>
        </w:rPr>
        <w:t>2</w:t>
      </w:r>
      <w:r>
        <w:rPr>
          <w:rFonts w:hint="eastAsia" w:ascii="宋体" w:hAnsi="宋体" w:cs="宋体"/>
          <w:snapToGrid w:val="0"/>
          <w:color w:val="000000" w:themeColor="text1"/>
          <w:spacing w:val="2"/>
          <w:kern w:val="0"/>
          <w:sz w:val="24"/>
          <w:highlight w:val="none"/>
          <w14:textFill>
            <w14:solidFill>
              <w14:schemeClr w14:val="tx1"/>
            </w14:solidFill>
          </w14:textFill>
        </w:rPr>
        <w:t>）企业营业执照复印件（加盖投标单位公章）；</w:t>
      </w:r>
    </w:p>
    <w:p w14:paraId="1D829A37">
      <w:pPr>
        <w:pStyle w:val="31"/>
        <w:spacing w:line="500" w:lineRule="exact"/>
        <w:ind w:left="456" w:firstLine="0" w:firstLineChars="0"/>
        <w:rPr>
          <w:rFonts w:hAnsi="宋体"/>
          <w:color w:val="000000" w:themeColor="text1"/>
          <w:spacing w:val="-6"/>
          <w:sz w:val="24"/>
          <w:highlight w:val="none"/>
          <w14:textFill>
            <w14:solidFill>
              <w14:schemeClr w14:val="tx1"/>
            </w14:solidFill>
          </w14:textFill>
        </w:rPr>
      </w:pPr>
      <w:r>
        <w:rPr>
          <w:rFonts w:hint="eastAsia" w:hAnsi="宋体"/>
          <w:color w:val="000000" w:themeColor="text1"/>
          <w:spacing w:val="-6"/>
          <w:sz w:val="24"/>
          <w:highlight w:val="none"/>
          <w14:textFill>
            <w14:solidFill>
              <w14:schemeClr w14:val="tx1"/>
            </w14:solidFill>
          </w14:textFill>
        </w:rPr>
        <w:t>（3）磋商响应供应商须提供参与本次项目政府采购活动前三年内在经营活动中没有重大违法记录的书面《无重大违法记录声明函》（须加盖公章）。</w:t>
      </w:r>
    </w:p>
    <w:p w14:paraId="3AC5D2D2">
      <w:pPr>
        <w:shd w:val="clear" w:color="auto" w:fill="FFFFFF"/>
        <w:adjustRightInd w:val="0"/>
        <w:snapToGrid w:val="0"/>
        <w:spacing w:line="500" w:lineRule="exact"/>
        <w:ind w:firstLine="488" w:firstLineChars="200"/>
        <w:rPr>
          <w:rFonts w:ascii="宋体" w:hAnsi="宋体" w:cs="宋体"/>
          <w:snapToGrid w:val="0"/>
          <w:color w:val="000000" w:themeColor="text1"/>
          <w:spacing w:val="2"/>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以上（1）-（3）所有资料提供原件，装订在资格审查资料原件包中；</w:t>
      </w:r>
    </w:p>
    <w:p w14:paraId="3FB6A0FA">
      <w:pPr>
        <w:shd w:val="clear" w:color="auto" w:fill="FFFFFF"/>
        <w:adjustRightInd w:val="0"/>
        <w:snapToGrid w:val="0"/>
        <w:spacing w:line="500" w:lineRule="exact"/>
        <w:ind w:firstLine="488" w:firstLineChars="200"/>
        <w:rPr>
          <w:rFonts w:ascii="宋体" w:hAnsi="宋体" w:cs="宋体"/>
          <w:snapToGrid w:val="0"/>
          <w:color w:val="000000" w:themeColor="text1"/>
          <w:spacing w:val="2"/>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上述(1)-(3)中任何一条不符合要求的，则资格审查不通过。</w:t>
      </w:r>
    </w:p>
    <w:p w14:paraId="06C071CD">
      <w:pPr>
        <w:snapToGrid w:val="0"/>
        <w:spacing w:line="500" w:lineRule="exact"/>
        <w:ind w:firstLine="435"/>
        <w:rPr>
          <w:rFonts w:ascii="宋体"/>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3.2</w:t>
      </w:r>
      <w:r>
        <w:rPr>
          <w:rFonts w:hint="eastAsia" w:ascii="宋体" w:hAnsi="宋体"/>
          <w:b/>
          <w:bCs/>
          <w:color w:val="000000" w:themeColor="text1"/>
          <w:sz w:val="24"/>
          <w:highlight w:val="none"/>
          <w14:textFill>
            <w14:solidFill>
              <w14:schemeClr w14:val="tx1"/>
            </w14:solidFill>
          </w14:textFill>
        </w:rPr>
        <w:t>资格审查资料原件包（原件单独密封在一个封袋中，以便在开标时核查，在封袋上加盖磋商供应商和法定代表人</w:t>
      </w:r>
      <w:r>
        <w:rPr>
          <w:rFonts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或授权委托人</w:t>
      </w:r>
      <w:r>
        <w:rPr>
          <w:rFonts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印章或签字）</w:t>
      </w:r>
      <w:r>
        <w:rPr>
          <w:rFonts w:hint="eastAsia" w:ascii="宋体" w:hAnsi="宋体"/>
          <w:color w:val="000000" w:themeColor="text1"/>
          <w:sz w:val="24"/>
          <w:highlight w:val="none"/>
          <w14:textFill>
            <w14:solidFill>
              <w14:schemeClr w14:val="tx1"/>
            </w14:solidFill>
          </w14:textFill>
        </w:rPr>
        <w:t>：</w:t>
      </w:r>
    </w:p>
    <w:p w14:paraId="5B53C8C6">
      <w:pPr>
        <w:widowControl/>
        <w:spacing w:line="500" w:lineRule="exact"/>
        <w:ind w:firstLine="470" w:firstLineChars="196"/>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上述资格审查资料部分的所有原件。</w:t>
      </w:r>
    </w:p>
    <w:p w14:paraId="1C86513B">
      <w:pPr>
        <w:shd w:val="clear" w:color="auto" w:fill="FFFFFF"/>
        <w:adjustRightInd w:val="0"/>
        <w:snapToGrid w:val="0"/>
        <w:spacing w:line="500" w:lineRule="exact"/>
        <w:ind w:firstLine="482" w:firstLineChars="200"/>
        <w:jc w:val="left"/>
        <w:rPr>
          <w:rFonts w:ascii="宋体" w:cs="宋体"/>
          <w:snapToGrid w:val="0"/>
          <w:color w:val="000000" w:themeColor="text1"/>
          <w:kern w:val="0"/>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3.3</w:t>
      </w:r>
      <w:r>
        <w:rPr>
          <w:rFonts w:hint="eastAsia"/>
          <w:b/>
          <w:color w:val="000000" w:themeColor="text1"/>
          <w:sz w:val="24"/>
          <w:szCs w:val="24"/>
          <w:highlight w:val="none"/>
          <w14:textFill>
            <w14:solidFill>
              <w14:schemeClr w14:val="tx1"/>
            </w14:solidFill>
          </w14:textFill>
        </w:rPr>
        <w:t>报价文件包括但不限于以下内容</w:t>
      </w:r>
      <w:r>
        <w:rPr>
          <w:rFonts w:hint="eastAsia" w:ascii="宋体" w:hAnsi="宋体" w:cs="宋体"/>
          <w:b/>
          <w:bCs/>
          <w:snapToGrid w:val="0"/>
          <w:color w:val="000000" w:themeColor="text1"/>
          <w:spacing w:val="2"/>
          <w:kern w:val="0"/>
          <w:sz w:val="24"/>
          <w:highlight w:val="none"/>
          <w14:textFill>
            <w14:solidFill>
              <w14:schemeClr w14:val="tx1"/>
            </w14:solidFill>
          </w14:textFill>
        </w:rPr>
        <w:t>（提供</w:t>
      </w:r>
      <w:r>
        <w:rPr>
          <w:rFonts w:hint="eastAsia" w:ascii="宋体" w:hAnsi="宋体"/>
          <w:b/>
          <w:bCs/>
          <w:color w:val="000000" w:themeColor="text1"/>
          <w:sz w:val="24"/>
          <w:highlight w:val="none"/>
          <w14:textFill>
            <w14:solidFill>
              <w14:schemeClr w14:val="tx1"/>
            </w14:solidFill>
          </w14:textFill>
        </w:rPr>
        <w:t>正本壹份、副本</w:t>
      </w:r>
      <w:r>
        <w:rPr>
          <w:rFonts w:hint="eastAsia" w:ascii="宋体" w:hAnsi="宋体" w:cs="宋体"/>
          <w:b/>
          <w:bCs/>
          <w:snapToGrid w:val="0"/>
          <w:color w:val="000000" w:themeColor="text1"/>
          <w:spacing w:val="2"/>
          <w:kern w:val="0"/>
          <w:sz w:val="24"/>
          <w:highlight w:val="none"/>
          <w14:textFill>
            <w14:solidFill>
              <w14:schemeClr w14:val="tx1"/>
            </w14:solidFill>
          </w14:textFill>
        </w:rPr>
        <w:t>贰份，单独密封在一个封袋中，在封袋上加盖磋商供应商和法定代表人</w:t>
      </w:r>
      <w:r>
        <w:rPr>
          <w:rFonts w:ascii="宋体" w:hAnsi="宋体" w:cs="宋体"/>
          <w:b/>
          <w:bCs/>
          <w:snapToGrid w:val="0"/>
          <w:color w:val="000000" w:themeColor="text1"/>
          <w:spacing w:val="2"/>
          <w:kern w:val="0"/>
          <w:sz w:val="24"/>
          <w:highlight w:val="none"/>
          <w14:textFill>
            <w14:solidFill>
              <w14:schemeClr w14:val="tx1"/>
            </w14:solidFill>
          </w14:textFill>
        </w:rPr>
        <w:t>(</w:t>
      </w:r>
      <w:r>
        <w:rPr>
          <w:rFonts w:hint="eastAsia" w:ascii="宋体" w:hAnsi="宋体" w:cs="宋体"/>
          <w:b/>
          <w:bCs/>
          <w:snapToGrid w:val="0"/>
          <w:color w:val="000000" w:themeColor="text1"/>
          <w:spacing w:val="2"/>
          <w:kern w:val="0"/>
          <w:sz w:val="24"/>
          <w:highlight w:val="none"/>
          <w14:textFill>
            <w14:solidFill>
              <w14:schemeClr w14:val="tx1"/>
            </w14:solidFill>
          </w14:textFill>
        </w:rPr>
        <w:t>或授权委托人</w:t>
      </w:r>
      <w:r>
        <w:rPr>
          <w:rFonts w:ascii="宋体" w:hAnsi="宋体" w:cs="宋体"/>
          <w:b/>
          <w:bCs/>
          <w:snapToGrid w:val="0"/>
          <w:color w:val="000000" w:themeColor="text1"/>
          <w:spacing w:val="2"/>
          <w:kern w:val="0"/>
          <w:sz w:val="24"/>
          <w:highlight w:val="none"/>
          <w14:textFill>
            <w14:solidFill>
              <w14:schemeClr w14:val="tx1"/>
            </w14:solidFill>
          </w14:textFill>
        </w:rPr>
        <w:t>)</w:t>
      </w:r>
      <w:r>
        <w:rPr>
          <w:rFonts w:hint="eastAsia" w:ascii="宋体" w:hAnsi="宋体" w:cs="宋体"/>
          <w:b/>
          <w:bCs/>
          <w:snapToGrid w:val="0"/>
          <w:color w:val="000000" w:themeColor="text1"/>
          <w:spacing w:val="2"/>
          <w:kern w:val="0"/>
          <w:sz w:val="24"/>
          <w:highlight w:val="none"/>
          <w14:textFill>
            <w14:solidFill>
              <w14:schemeClr w14:val="tx1"/>
            </w14:solidFill>
          </w14:textFill>
        </w:rPr>
        <w:t>印章）</w:t>
      </w:r>
    </w:p>
    <w:p w14:paraId="3E60C2D7">
      <w:pPr>
        <w:shd w:val="clear" w:color="auto" w:fill="FFFFFF"/>
        <w:adjustRightInd w:val="0"/>
        <w:snapToGrid w:val="0"/>
        <w:spacing w:line="500" w:lineRule="exact"/>
        <w:ind w:firstLine="600" w:firstLineChars="250"/>
        <w:jc w:val="left"/>
        <w:rPr>
          <w:rFonts w:ascii="宋体" w:cs="宋体"/>
          <w:snapToGrid w:val="0"/>
          <w:color w:val="000000" w:themeColor="text1"/>
          <w:spacing w:val="-10"/>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pacing w:val="-10"/>
          <w:kern w:val="0"/>
          <w:sz w:val="24"/>
          <w:highlight w:val="none"/>
          <w14:textFill>
            <w14:solidFill>
              <w14:schemeClr w14:val="tx1"/>
            </w14:solidFill>
          </w14:textFill>
        </w:rPr>
        <w:t>法人授权委托书</w:t>
      </w:r>
    </w:p>
    <w:p w14:paraId="66CD23D7">
      <w:pPr>
        <w:shd w:val="clear" w:color="auto" w:fill="FFFFFF"/>
        <w:adjustRightInd w:val="0"/>
        <w:snapToGrid w:val="0"/>
        <w:spacing w:line="500" w:lineRule="exact"/>
        <w:ind w:firstLine="600" w:firstLineChars="250"/>
        <w:jc w:val="left"/>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0"/>
          <w:sz w:val="24"/>
          <w:highlight w:val="none"/>
          <w14:textFill>
            <w14:solidFill>
              <w14:schemeClr w14:val="tx1"/>
            </w14:solidFill>
          </w14:textFill>
        </w:rPr>
        <w:t>）磋商报价表</w:t>
      </w:r>
    </w:p>
    <w:p w14:paraId="160E3474">
      <w:pPr>
        <w:shd w:val="clear" w:color="auto" w:fill="FFFFFF"/>
        <w:adjustRightInd w:val="0"/>
        <w:snapToGrid w:val="0"/>
        <w:spacing w:line="500" w:lineRule="exact"/>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3.4</w:t>
      </w:r>
      <w:r>
        <w:rPr>
          <w:rFonts w:hint="eastAsia"/>
          <w:b/>
          <w:color w:val="000000" w:themeColor="text1"/>
          <w:sz w:val="24"/>
          <w:szCs w:val="24"/>
          <w:highlight w:val="none"/>
          <w14:textFill>
            <w14:solidFill>
              <w14:schemeClr w14:val="tx1"/>
            </w14:solidFill>
          </w14:textFill>
        </w:rPr>
        <w:t>技术商务标文件按照招标文件第三章“采购需求”填写，包括但不限于以下内容（提供正本壹份、副本</w:t>
      </w:r>
      <w:r>
        <w:rPr>
          <w:rFonts w:hint="eastAsia" w:ascii="宋体" w:hAnsi="宋体" w:cs="宋体"/>
          <w:b/>
          <w:bCs/>
          <w:snapToGrid w:val="0"/>
          <w:color w:val="000000" w:themeColor="text1"/>
          <w:spacing w:val="2"/>
          <w:kern w:val="0"/>
          <w:sz w:val="24"/>
          <w:highlight w:val="none"/>
          <w14:textFill>
            <w14:solidFill>
              <w14:schemeClr w14:val="tx1"/>
            </w14:solidFill>
          </w14:textFill>
        </w:rPr>
        <w:t>贰份</w:t>
      </w:r>
      <w:r>
        <w:rPr>
          <w:rFonts w:hint="eastAsia"/>
          <w:b/>
          <w:color w:val="000000" w:themeColor="text1"/>
          <w:sz w:val="24"/>
          <w:szCs w:val="24"/>
          <w:highlight w:val="none"/>
          <w14:textFill>
            <w14:solidFill>
              <w14:schemeClr w14:val="tx1"/>
            </w14:solidFill>
          </w14:textFill>
        </w:rPr>
        <w:t>，单独密封在一个封袋中，在封袋上加盖磋商供应商和法定代表人(或授权委托人)印章或签字）</w:t>
      </w:r>
    </w:p>
    <w:p w14:paraId="07B897A7">
      <w:pPr>
        <w:shd w:val="clear" w:color="auto" w:fill="FFFFFF"/>
        <w:adjustRightInd w:val="0"/>
        <w:snapToGrid w:val="0"/>
        <w:spacing w:line="500" w:lineRule="exact"/>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技术标部分：</w:t>
      </w:r>
    </w:p>
    <w:p w14:paraId="1028B1D9">
      <w:pPr>
        <w:shd w:val="clear" w:color="auto" w:fill="FFFFFF"/>
        <w:adjustRightInd w:val="0"/>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投标人实力；</w:t>
      </w:r>
    </w:p>
    <w:p w14:paraId="11E499F9">
      <w:pPr>
        <w:shd w:val="clear" w:color="auto" w:fill="FFFFFF"/>
        <w:adjustRightInd w:val="0"/>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（2）设计方案文件</w:t>
      </w:r>
      <w:r>
        <w:rPr>
          <w:rFonts w:hint="eastAsia" w:ascii="宋体" w:hAnsi="宋体"/>
          <w:b/>
          <w:bCs/>
          <w:color w:val="000000" w:themeColor="text1"/>
          <w:sz w:val="24"/>
          <w:szCs w:val="24"/>
          <w:highlight w:val="none"/>
          <w14:textFill>
            <w14:solidFill>
              <w14:schemeClr w14:val="tx1"/>
            </w14:solidFill>
          </w14:textFill>
        </w:rPr>
        <w:t>；</w:t>
      </w:r>
    </w:p>
    <w:p w14:paraId="020CD6CD">
      <w:pPr>
        <w:shd w:val="clear" w:color="auto" w:fill="FFFFFF"/>
        <w:adjustRightInd w:val="0"/>
        <w:snapToGrid w:val="0"/>
        <w:spacing w:line="500" w:lineRule="exact"/>
        <w:ind w:firstLine="480" w:firstLineChars="200"/>
        <w:rPr>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(3)评标办法中涉及的事项，磋商供应商认为需要提交的其他资料。</w:t>
      </w:r>
    </w:p>
    <w:p w14:paraId="28A8B861">
      <w:pPr>
        <w:snapToGrid w:val="0"/>
        <w:spacing w:line="500" w:lineRule="exact"/>
        <w:ind w:firstLine="435"/>
        <w:rPr>
          <w:rFonts w:ascii="宋体" w:cs="宋体"/>
          <w:snapToGrid w:val="0"/>
          <w:color w:val="000000" w:themeColor="text1"/>
          <w:kern w:val="0"/>
          <w:sz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以上</w:t>
      </w:r>
      <w:r>
        <w:rPr>
          <w:rFonts w:hint="eastAsia"/>
          <w:b/>
          <w:color w:val="000000" w:themeColor="text1"/>
          <w:sz w:val="24"/>
          <w:szCs w:val="24"/>
          <w:highlight w:val="none"/>
          <w14:textFill>
            <w14:solidFill>
              <w14:schemeClr w14:val="tx1"/>
            </w14:solidFill>
          </w14:textFill>
        </w:rPr>
        <w:t>技术标</w:t>
      </w:r>
      <w:r>
        <w:rPr>
          <w:rFonts w:hint="eastAsia"/>
          <w:b/>
          <w:bCs/>
          <w:color w:val="000000" w:themeColor="text1"/>
          <w:sz w:val="24"/>
          <w:szCs w:val="24"/>
          <w:highlight w:val="none"/>
          <w14:textFill>
            <w14:solidFill>
              <w14:schemeClr w14:val="tx1"/>
            </w14:solidFill>
          </w14:textFill>
        </w:rPr>
        <w:t>涉及的证书、证明材料、合同等相关原件</w:t>
      </w:r>
      <w:r>
        <w:rPr>
          <w:rFonts w:hint="eastAsia" w:ascii="宋体" w:hAnsi="宋体"/>
          <w:b/>
          <w:bCs/>
          <w:color w:val="000000" w:themeColor="text1"/>
          <w:sz w:val="24"/>
          <w:highlight w:val="none"/>
          <w14:textFill>
            <w14:solidFill>
              <w14:schemeClr w14:val="tx1"/>
            </w14:solidFill>
          </w14:textFill>
        </w:rPr>
        <w:t>装订在资格审查资料原件包中</w:t>
      </w:r>
      <w:r>
        <w:rPr>
          <w:rFonts w:hint="eastAsia"/>
          <w:b/>
          <w:bCs/>
          <w:color w:val="000000" w:themeColor="text1"/>
          <w:sz w:val="24"/>
          <w:szCs w:val="24"/>
          <w:highlight w:val="none"/>
          <w14:textFill>
            <w14:solidFill>
              <w14:schemeClr w14:val="tx1"/>
            </w14:solidFill>
          </w14:textFill>
        </w:rPr>
        <w:t>带至开标现场。</w:t>
      </w:r>
      <w:r>
        <w:rPr>
          <w:rFonts w:hint="eastAsia" w:hAnsi="宋体"/>
          <w:b/>
          <w:color w:val="000000" w:themeColor="text1"/>
          <w:sz w:val="24"/>
          <w:highlight w:val="none"/>
          <w14:textFill>
            <w14:solidFill>
              <w14:schemeClr w14:val="tx1"/>
            </w14:solidFill>
          </w14:textFill>
        </w:rPr>
        <w:t>因投标人自身原因，在评标工作期间，不能及时、完整、有效提供相关原件以供评委会查询，由此导致不利于投标文件的评审后果由投标人承担。</w:t>
      </w:r>
    </w:p>
    <w:p w14:paraId="31F30DF2">
      <w:pPr>
        <w:shd w:val="clear" w:color="auto" w:fill="FFFFFF"/>
        <w:adjustRightInd w:val="0"/>
        <w:snapToGrid w:val="0"/>
        <w:spacing w:line="500" w:lineRule="exact"/>
        <w:ind w:firstLine="482" w:firstLineChars="200"/>
        <w:jc w:val="left"/>
        <w:rPr>
          <w:rFonts w:asci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五、磋商文件的份数和签署</w:t>
      </w:r>
    </w:p>
    <w:p w14:paraId="334613FF">
      <w:pPr>
        <w:shd w:val="clear" w:color="auto" w:fill="FFFFFF"/>
        <w:adjustRightInd w:val="0"/>
        <w:snapToGrid w:val="0"/>
        <w:spacing w:line="500" w:lineRule="exact"/>
        <w:ind w:firstLine="501" w:firstLineChars="209"/>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）磋商人必须编制一份磋商文件“正本”和采购文件中所要求份数的“副本”，并明确标明“正本”和“副本”。磋商文件正本和副本如有不一致之处，以正本为准。</w:t>
      </w:r>
    </w:p>
    <w:p w14:paraId="16FFE88D">
      <w:pPr>
        <w:shd w:val="clear" w:color="auto" w:fill="FFFFFF"/>
        <w:adjustRightInd w:val="0"/>
        <w:snapToGrid w:val="0"/>
        <w:spacing w:line="500" w:lineRule="exact"/>
        <w:ind w:firstLine="501" w:firstLineChars="209"/>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0"/>
          <w:sz w:val="24"/>
          <w:highlight w:val="none"/>
          <w14:textFill>
            <w14:solidFill>
              <w14:schemeClr w14:val="tx1"/>
            </w14:solidFill>
          </w14:textFill>
        </w:rPr>
        <w:t>）磋商文件正本与副本均应使用不能擦去的墨水书写或打印，由磋商人加盖公章和法定代表人或法定代表人委托的代理人加盖印章或签字。</w:t>
      </w:r>
    </w:p>
    <w:p w14:paraId="367F3766">
      <w:pPr>
        <w:shd w:val="clear" w:color="auto" w:fill="FFFFFF"/>
        <w:adjustRightInd w:val="0"/>
        <w:snapToGrid w:val="0"/>
        <w:spacing w:line="500" w:lineRule="exact"/>
        <w:ind w:firstLine="482" w:firstLineChars="200"/>
        <w:rPr>
          <w:rFonts w:asci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六、磋商文件的密封与标志</w:t>
      </w:r>
    </w:p>
    <w:p w14:paraId="2BEEA59C">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）磋商供应商应准备</w:t>
      </w:r>
      <w:r>
        <w:rPr>
          <w:rFonts w:hint="eastAsia" w:ascii="宋体" w:hAnsi="宋体" w:cs="宋体"/>
          <w:b/>
          <w:bCs/>
          <w:snapToGrid w:val="0"/>
          <w:color w:val="000000" w:themeColor="text1"/>
          <w:kern w:val="0"/>
          <w:sz w:val="24"/>
          <w:highlight w:val="none"/>
          <w:u w:val="single"/>
          <w14:textFill>
            <w14:solidFill>
              <w14:schemeClr w14:val="tx1"/>
            </w14:solidFill>
          </w14:textFill>
        </w:rPr>
        <w:t>叁</w:t>
      </w:r>
      <w:r>
        <w:rPr>
          <w:rFonts w:hint="eastAsia" w:ascii="宋体" w:hAnsi="宋体" w:cs="宋体"/>
          <w:snapToGrid w:val="0"/>
          <w:color w:val="000000" w:themeColor="text1"/>
          <w:kern w:val="0"/>
          <w:sz w:val="24"/>
          <w:highlight w:val="none"/>
          <w14:textFill>
            <w14:solidFill>
              <w14:schemeClr w14:val="tx1"/>
            </w14:solidFill>
          </w14:textFill>
        </w:rPr>
        <w:t>份完整的投标文件，其中正本</w:t>
      </w:r>
      <w:r>
        <w:rPr>
          <w:rFonts w:hint="eastAsia" w:ascii="宋体" w:hAnsi="宋体" w:cs="宋体"/>
          <w:b/>
          <w:bCs/>
          <w:snapToGrid w:val="0"/>
          <w:color w:val="000000" w:themeColor="text1"/>
          <w:kern w:val="0"/>
          <w:sz w:val="24"/>
          <w:highlight w:val="none"/>
          <w:u w:val="single"/>
          <w14:textFill>
            <w14:solidFill>
              <w14:schemeClr w14:val="tx1"/>
            </w14:solidFill>
          </w14:textFill>
        </w:rPr>
        <w:t>壹</w:t>
      </w:r>
      <w:r>
        <w:rPr>
          <w:rFonts w:hint="eastAsia" w:ascii="宋体" w:hAnsi="宋体" w:cs="宋体"/>
          <w:snapToGrid w:val="0"/>
          <w:color w:val="000000" w:themeColor="text1"/>
          <w:kern w:val="0"/>
          <w:sz w:val="24"/>
          <w:highlight w:val="none"/>
          <w14:textFill>
            <w14:solidFill>
              <w14:schemeClr w14:val="tx1"/>
            </w14:solidFill>
          </w14:textFill>
        </w:rPr>
        <w:t>份，副本</w:t>
      </w:r>
      <w:r>
        <w:rPr>
          <w:rFonts w:hint="eastAsia" w:ascii="宋体" w:hAnsi="宋体" w:cs="宋体"/>
          <w:b/>
          <w:bCs/>
          <w:snapToGrid w:val="0"/>
          <w:color w:val="000000" w:themeColor="text1"/>
          <w:kern w:val="0"/>
          <w:sz w:val="24"/>
          <w:highlight w:val="none"/>
          <w:u w:val="single"/>
          <w14:textFill>
            <w14:solidFill>
              <w14:schemeClr w14:val="tx1"/>
            </w14:solidFill>
          </w14:textFill>
        </w:rPr>
        <w:t>贰</w:t>
      </w:r>
      <w:r>
        <w:rPr>
          <w:rFonts w:hint="eastAsia" w:ascii="宋体" w:hAnsi="宋体" w:cs="宋体"/>
          <w:snapToGrid w:val="0"/>
          <w:color w:val="000000" w:themeColor="text1"/>
          <w:kern w:val="0"/>
          <w:sz w:val="24"/>
          <w:highlight w:val="none"/>
          <w14:textFill>
            <w14:solidFill>
              <w14:schemeClr w14:val="tx1"/>
            </w14:solidFill>
          </w14:textFill>
        </w:rPr>
        <w:t>份，并标明“正本”或“副本”字样。</w:t>
      </w:r>
    </w:p>
    <w:p w14:paraId="3FA02565">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0"/>
          <w:sz w:val="24"/>
          <w:highlight w:val="none"/>
          <w14:textFill>
            <w14:solidFill>
              <w14:schemeClr w14:val="tx1"/>
            </w14:solidFill>
          </w14:textFill>
        </w:rPr>
        <w:t>）投标文件分为</w:t>
      </w:r>
      <w:r>
        <w:rPr>
          <w:rFonts w:hint="eastAsia" w:ascii="宋体" w:hAnsi="宋体" w:cs="宋体"/>
          <w:snapToGrid w:val="0"/>
          <w:color w:val="000000" w:themeColor="text1"/>
          <w:spacing w:val="2"/>
          <w:kern w:val="0"/>
          <w:sz w:val="24"/>
          <w:highlight w:val="none"/>
          <w14:textFill>
            <w14:solidFill>
              <w14:schemeClr w14:val="tx1"/>
            </w14:solidFill>
          </w14:textFill>
        </w:rPr>
        <w:t>资格审查资料原件、资格审查资料、</w:t>
      </w:r>
      <w:r>
        <w:rPr>
          <w:rFonts w:hint="eastAsia" w:ascii="宋体" w:hAnsi="宋体" w:cs="宋体"/>
          <w:snapToGrid w:val="0"/>
          <w:color w:val="000000" w:themeColor="text1"/>
          <w:kern w:val="0"/>
          <w:sz w:val="24"/>
          <w:highlight w:val="none"/>
          <w14:textFill>
            <w14:solidFill>
              <w14:schemeClr w14:val="tx1"/>
            </w14:solidFill>
          </w14:textFill>
        </w:rPr>
        <w:t>技术商务标、报价标四部分。</w:t>
      </w:r>
      <w:r>
        <w:rPr>
          <w:rFonts w:hint="eastAsia" w:ascii="宋体" w:hAnsi="宋体" w:cs="宋体"/>
          <w:snapToGrid w:val="0"/>
          <w:color w:val="000000" w:themeColor="text1"/>
          <w:spacing w:val="2"/>
          <w:kern w:val="0"/>
          <w:sz w:val="24"/>
          <w:highlight w:val="none"/>
          <w14:textFill>
            <w14:solidFill>
              <w14:schemeClr w14:val="tx1"/>
            </w14:solidFill>
          </w14:textFill>
        </w:rPr>
        <w:t>资格审查资料原件、资格审查资料、</w:t>
      </w:r>
      <w:r>
        <w:rPr>
          <w:rFonts w:hint="eastAsia" w:ascii="宋体" w:hAnsi="宋体" w:cs="宋体"/>
          <w:snapToGrid w:val="0"/>
          <w:color w:val="000000" w:themeColor="text1"/>
          <w:kern w:val="0"/>
          <w:sz w:val="24"/>
          <w:highlight w:val="none"/>
          <w14:textFill>
            <w14:solidFill>
              <w14:schemeClr w14:val="tx1"/>
            </w14:solidFill>
          </w14:textFill>
        </w:rPr>
        <w:t>技术商务标、报价标必须分别密封，并在封袋上标明“</w:t>
      </w:r>
      <w:r>
        <w:rPr>
          <w:rFonts w:hint="eastAsia" w:ascii="宋体" w:hAnsi="宋体" w:cs="宋体"/>
          <w:snapToGrid w:val="0"/>
          <w:color w:val="000000" w:themeColor="text1"/>
          <w:spacing w:val="2"/>
          <w:kern w:val="0"/>
          <w:sz w:val="24"/>
          <w:highlight w:val="none"/>
          <w14:textFill>
            <w14:solidFill>
              <w14:schemeClr w14:val="tx1"/>
            </w14:solidFill>
          </w14:textFill>
        </w:rPr>
        <w:t>资格审查资料原件</w:t>
      </w:r>
      <w:r>
        <w:rPr>
          <w:rFonts w:hint="eastAsia"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pacing w:val="2"/>
          <w:kern w:val="0"/>
          <w:sz w:val="24"/>
          <w:highlight w:val="none"/>
          <w14:textFill>
            <w14:solidFill>
              <w14:schemeClr w14:val="tx1"/>
            </w14:solidFill>
          </w14:textFill>
        </w:rPr>
        <w:t>、“资格审查资料”、</w:t>
      </w:r>
      <w:r>
        <w:rPr>
          <w:rFonts w:hint="eastAsia" w:ascii="宋体" w:hAnsi="宋体" w:cs="宋体"/>
          <w:snapToGrid w:val="0"/>
          <w:color w:val="000000" w:themeColor="text1"/>
          <w:kern w:val="0"/>
          <w:sz w:val="24"/>
          <w:highlight w:val="none"/>
          <w14:textFill>
            <w14:solidFill>
              <w14:schemeClr w14:val="tx1"/>
            </w14:solidFill>
          </w14:textFill>
        </w:rPr>
        <w:t>“技术商务标”或“报价标”，同时还要写明采购人名称、项目名称、磋商人名称。</w:t>
      </w:r>
    </w:p>
    <w:p w14:paraId="5E6B2825">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3</w:t>
      </w:r>
      <w:r>
        <w:rPr>
          <w:rFonts w:hint="eastAsia" w:ascii="宋体" w:hAnsi="宋体" w:cs="宋体"/>
          <w:snapToGrid w:val="0"/>
          <w:color w:val="000000" w:themeColor="text1"/>
          <w:kern w:val="0"/>
          <w:sz w:val="24"/>
          <w:highlight w:val="none"/>
          <w14:textFill>
            <w14:solidFill>
              <w14:schemeClr w14:val="tx1"/>
            </w14:solidFill>
          </w14:textFill>
        </w:rPr>
        <w:t>）磋商供应商可将磋商文件正副本统一密封在一个包内，磋商文件正副本也可分别密封；如正本和副本分别密封的，应在封袋上标明正、副本字样。</w:t>
      </w:r>
    </w:p>
    <w:p w14:paraId="11F286ED">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4</w:t>
      </w:r>
      <w:r>
        <w:rPr>
          <w:rFonts w:hint="eastAsia" w:ascii="宋体" w:hAnsi="宋体" w:cs="宋体"/>
          <w:snapToGrid w:val="0"/>
          <w:color w:val="000000" w:themeColor="text1"/>
          <w:kern w:val="0"/>
          <w:sz w:val="24"/>
          <w:highlight w:val="none"/>
          <w14:textFill>
            <w14:solidFill>
              <w14:schemeClr w14:val="tx1"/>
            </w14:solidFill>
          </w14:textFill>
        </w:rPr>
        <w:t>）所有磋商文件的密封袋上均应加盖磋商人公章及法定代表人签章</w:t>
      </w:r>
      <w:r>
        <w:rPr>
          <w:rFonts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或签字</w:t>
      </w:r>
      <w:r>
        <w:rPr>
          <w:rFonts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。磋商供应商未按上述规定提交磋商文件，其磋商文件将被拒绝，并退还给磋商人。</w:t>
      </w:r>
    </w:p>
    <w:p w14:paraId="059D1575">
      <w:pPr>
        <w:shd w:val="clear" w:color="auto" w:fill="FFFFFF"/>
        <w:adjustRightInd w:val="0"/>
        <w:snapToGrid w:val="0"/>
        <w:spacing w:line="500" w:lineRule="exact"/>
        <w:ind w:firstLine="480" w:firstLineChars="200"/>
        <w:rPr>
          <w:rFonts w:asci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5</w:t>
      </w:r>
      <w:r>
        <w:rPr>
          <w:rFonts w:hint="eastAsia" w:ascii="宋体" w:hAnsi="宋体" w:cs="宋体"/>
          <w:snapToGrid w:val="0"/>
          <w:color w:val="000000" w:themeColor="text1"/>
          <w:kern w:val="0"/>
          <w:sz w:val="24"/>
          <w:highlight w:val="none"/>
          <w14:textFill>
            <w14:solidFill>
              <w14:schemeClr w14:val="tx1"/>
            </w14:solidFill>
          </w14:textFill>
        </w:rPr>
        <w:t>）投标文件正、副本不一致时，以正本为准。</w:t>
      </w:r>
    </w:p>
    <w:p w14:paraId="3D20DC42">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七、投标文件的递交时间</w:t>
      </w:r>
    </w:p>
    <w:p w14:paraId="1ADADC12">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磋商供应商必须在规定的投标文件接收截止时间前送达招标人。招标人将拒绝接收在投标截止时间后递交的投标文件。</w:t>
      </w:r>
    </w:p>
    <w:p w14:paraId="38D12151">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八、磋商保证金：</w:t>
      </w:r>
      <w:r>
        <w:rPr>
          <w:rFonts w:hint="eastAsia" w:ascii="宋体"/>
          <w:color w:val="000000" w:themeColor="text1"/>
          <w:sz w:val="24"/>
          <w:szCs w:val="24"/>
          <w:highlight w:val="none"/>
          <w14:textFill>
            <w14:solidFill>
              <w14:schemeClr w14:val="tx1"/>
            </w14:solidFill>
          </w14:textFill>
        </w:rPr>
        <w:t>本项目不收投标保证金，采购文件中涉及投标保证金的事项，均按免收投标保证金执行。</w:t>
      </w:r>
    </w:p>
    <w:p w14:paraId="19648D70">
      <w:pPr>
        <w:snapToGrid w:val="0"/>
        <w:spacing w:beforeLines="50" w:afterLines="50" w:line="500" w:lineRule="exact"/>
        <w:ind w:firstLine="472" w:firstLineChars="196"/>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九、投标费用</w:t>
      </w:r>
    </w:p>
    <w:p w14:paraId="5E890F26">
      <w:pPr>
        <w:snapToGrid w:val="0"/>
        <w:spacing w:line="500" w:lineRule="exact"/>
        <w:ind w:firstLine="480" w:firstLineChars="200"/>
        <w:rPr>
          <w:rFonts w:ascii="宋体" w:hAnsi="宋体"/>
          <w:sz w:val="24"/>
          <w:szCs w:val="24"/>
          <w:highlight w:val="none"/>
        </w:rPr>
        <w:sectPr>
          <w:pgSz w:w="11906" w:h="16838"/>
          <w:pgMar w:top="1134" w:right="1134" w:bottom="1134" w:left="1622" w:header="851" w:footer="992" w:gutter="0"/>
          <w:pgNumType w:fmt="numberInDash"/>
          <w:cols w:space="720" w:num="1"/>
          <w:docGrid w:linePitch="312" w:charSpace="0"/>
        </w:sectPr>
      </w:pPr>
      <w:r>
        <w:rPr>
          <w:rFonts w:hint="eastAsia" w:ascii="宋体" w:hAnsi="宋体"/>
          <w:color w:val="000000" w:themeColor="text1"/>
          <w:sz w:val="24"/>
          <w:szCs w:val="24"/>
          <w:highlight w:val="none"/>
          <w14:textFill>
            <w14:solidFill>
              <w14:schemeClr w14:val="tx1"/>
            </w14:solidFill>
          </w14:textFill>
        </w:rPr>
        <w:t>磋商供应商承担参与投标可能发生的全部费用，招标人在任何情况下均无义务和责任承担这些费用。</w:t>
      </w:r>
    </w:p>
    <w:p w14:paraId="344B4A60">
      <w:pPr>
        <w:pStyle w:val="2"/>
        <w:spacing w:before="240" w:after="240" w:line="360" w:lineRule="auto"/>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第三章 项目需求</w:t>
      </w:r>
    </w:p>
    <w:p w14:paraId="2717BCC8">
      <w:pPr>
        <w:spacing w:line="360" w:lineRule="auto"/>
        <w:ind w:firstLine="480" w:firstLineChars="200"/>
        <w:rPr>
          <w:rFonts w:hint="eastAsia" w:ascii="宋体" w:hAnsi="宋体" w:cs="宋体"/>
          <w:sz w:val="24"/>
          <w:szCs w:val="24"/>
        </w:rPr>
      </w:pPr>
      <w:r>
        <w:rPr>
          <w:rFonts w:hint="eastAsia" w:ascii="宋体" w:hAnsi="宋体" w:cs="宋体"/>
          <w:sz w:val="24"/>
          <w:szCs w:val="24"/>
        </w:rPr>
        <w:t>对南通市总工会党建阵地及周边环境进行设计、施工，设计风格要求既庄重又有时代感，符合中央“八项规定”及省市“十项规定”的相关要求，具体设计和施工内容如下：</w:t>
      </w:r>
    </w:p>
    <w:p w14:paraId="5040D5DF">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1、地点位于启瑞广场D座12F，由入口空间和两侧长廊构成。 </w:t>
      </w:r>
    </w:p>
    <w:p w14:paraId="4F4D9D0F">
      <w:pPr>
        <w:spacing w:line="360" w:lineRule="auto"/>
        <w:ind w:firstLine="480" w:firstLineChars="200"/>
        <w:rPr>
          <w:rFonts w:hint="eastAsia" w:ascii="宋体" w:hAnsi="宋体" w:cs="宋体"/>
          <w:sz w:val="24"/>
          <w:szCs w:val="24"/>
        </w:rPr>
      </w:pPr>
      <w:r>
        <w:rPr>
          <w:rFonts w:hint="eastAsia" w:ascii="宋体" w:hAnsi="宋体" w:cs="宋体"/>
          <w:sz w:val="24"/>
          <w:szCs w:val="24"/>
        </w:rPr>
        <w:t>2、外部特征：</w:t>
      </w:r>
    </w:p>
    <w:p w14:paraId="616FE00F">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长廊宽约2m、高约2.4m，整体空间较为狭窄； </w:t>
      </w:r>
    </w:p>
    <w:p w14:paraId="624311AB">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长廊墙面均呈弧形，展示面多，但被通道、房门切割，较为零散不连贯； </w:t>
      </w:r>
    </w:p>
    <w:p w14:paraId="5C225C75">
      <w:pPr>
        <w:spacing w:line="360" w:lineRule="auto"/>
        <w:ind w:firstLine="480" w:firstLineChars="200"/>
        <w:rPr>
          <w:rFonts w:hint="eastAsia" w:ascii="宋体" w:hAnsi="宋体" w:cs="宋体"/>
          <w:sz w:val="24"/>
          <w:szCs w:val="24"/>
        </w:rPr>
      </w:pPr>
      <w:r>
        <w:rPr>
          <w:rFonts w:hint="eastAsia" w:ascii="宋体" w:hAnsi="宋体" w:cs="宋体"/>
          <w:sz w:val="24"/>
          <w:szCs w:val="24"/>
        </w:rPr>
        <w:t>• 载体南侧包含两道长廊，对动线规划提出较高要求。</w:t>
      </w:r>
    </w:p>
    <w:p w14:paraId="3B057DF7">
      <w:pPr>
        <w:spacing w:line="360" w:lineRule="auto"/>
        <w:ind w:firstLine="480" w:firstLineChars="200"/>
        <w:rPr>
          <w:rFonts w:hint="eastAsia" w:ascii="宋体" w:hAnsi="宋体" w:cs="宋体"/>
          <w:sz w:val="24"/>
          <w:szCs w:val="24"/>
        </w:rPr>
      </w:pPr>
      <w:r>
        <w:rPr>
          <w:rFonts w:hint="eastAsia" w:ascii="宋体" w:hAnsi="宋体" w:cs="宋体"/>
          <w:sz w:val="24"/>
          <w:szCs w:val="24"/>
        </w:rPr>
        <w:t>3、设计要求：</w:t>
      </w:r>
    </w:p>
    <w:p w14:paraId="000973BF">
      <w:pPr>
        <w:spacing w:line="360" w:lineRule="auto"/>
        <w:ind w:firstLine="480" w:firstLineChars="200"/>
        <w:rPr>
          <w:rFonts w:hint="eastAsia" w:ascii="宋体" w:hAnsi="宋体" w:cs="宋体"/>
          <w:sz w:val="24"/>
          <w:szCs w:val="24"/>
        </w:rPr>
      </w:pPr>
      <w:r>
        <w:rPr>
          <w:rFonts w:hint="eastAsia" w:ascii="宋体" w:hAnsi="宋体" w:cs="宋体"/>
          <w:sz w:val="24"/>
          <w:szCs w:val="24"/>
        </w:rPr>
        <w:t>（1）展示厅：南通市总工会工作成果荣誉、形象装置、总体概况、组织架构等；</w:t>
      </w:r>
    </w:p>
    <w:p w14:paraId="56050F3E">
      <w:pPr>
        <w:spacing w:line="360" w:lineRule="auto"/>
        <w:ind w:firstLine="480" w:firstLineChars="200"/>
        <w:rPr>
          <w:rFonts w:hint="eastAsia" w:ascii="宋体" w:hAnsi="宋体" w:cs="宋体"/>
          <w:sz w:val="24"/>
          <w:szCs w:val="24"/>
        </w:rPr>
      </w:pPr>
      <w:r>
        <w:rPr>
          <w:rFonts w:hint="eastAsia" w:ascii="宋体" w:hAnsi="宋体" w:cs="宋体"/>
          <w:sz w:val="24"/>
          <w:szCs w:val="24"/>
        </w:rPr>
        <w:t>1、整体空间需重新规划设计，利用现有空间充分展示内容；</w:t>
      </w:r>
    </w:p>
    <w:p w14:paraId="4B40DBFA">
      <w:pPr>
        <w:spacing w:line="360" w:lineRule="auto"/>
        <w:ind w:firstLine="480" w:firstLineChars="200"/>
        <w:rPr>
          <w:rFonts w:hint="eastAsia" w:ascii="宋体" w:hAnsi="宋体" w:cs="宋体"/>
          <w:sz w:val="24"/>
          <w:szCs w:val="24"/>
        </w:rPr>
      </w:pPr>
      <w:r>
        <w:rPr>
          <w:rFonts w:hint="eastAsia" w:ascii="宋体" w:hAnsi="宋体" w:cs="宋体"/>
          <w:sz w:val="24"/>
          <w:szCs w:val="24"/>
        </w:rPr>
        <w:t>2、整体设计风格与环境相融合，展陈灯光与楼层采光结合考虑；</w:t>
      </w:r>
    </w:p>
    <w:p w14:paraId="669B7518">
      <w:pPr>
        <w:spacing w:line="360" w:lineRule="auto"/>
        <w:ind w:firstLine="480" w:firstLineChars="200"/>
        <w:rPr>
          <w:rFonts w:hint="eastAsia" w:ascii="宋体" w:hAnsi="宋体" w:cs="宋体"/>
          <w:sz w:val="24"/>
          <w:szCs w:val="24"/>
        </w:rPr>
      </w:pPr>
      <w:r>
        <w:rPr>
          <w:rFonts w:hint="eastAsia" w:ascii="宋体" w:hAnsi="宋体" w:cs="宋体"/>
          <w:sz w:val="24"/>
          <w:szCs w:val="24"/>
        </w:rPr>
        <w:t>3、设置奖牌、奖杯、荣誉证书等实物展示的展示台或者展示柜；</w:t>
      </w:r>
    </w:p>
    <w:p w14:paraId="4D40A6F6">
      <w:pPr>
        <w:spacing w:line="360" w:lineRule="auto"/>
        <w:ind w:firstLine="480" w:firstLineChars="200"/>
        <w:rPr>
          <w:rFonts w:hint="eastAsia" w:ascii="宋体" w:hAnsi="宋体" w:cs="宋体"/>
          <w:sz w:val="24"/>
          <w:szCs w:val="24"/>
        </w:rPr>
      </w:pPr>
      <w:r>
        <w:rPr>
          <w:rFonts w:hint="eastAsia" w:ascii="宋体" w:hAnsi="宋体" w:cs="宋体"/>
          <w:sz w:val="24"/>
          <w:szCs w:val="24"/>
        </w:rPr>
        <w:t>4、设置用于播放总工会宣传视频及演示PPT屏幕，不得小于98寸。</w:t>
      </w:r>
    </w:p>
    <w:p w14:paraId="1C2A8021">
      <w:pPr>
        <w:spacing w:line="360" w:lineRule="auto"/>
        <w:ind w:firstLine="480" w:firstLineChars="200"/>
        <w:rPr>
          <w:rFonts w:hint="eastAsia" w:ascii="宋体" w:hAnsi="宋体" w:cs="宋体"/>
          <w:sz w:val="24"/>
          <w:szCs w:val="24"/>
        </w:rPr>
      </w:pPr>
      <w:r>
        <w:rPr>
          <w:rFonts w:hint="eastAsia" w:ascii="宋体" w:hAnsi="宋体" w:cs="宋体"/>
          <w:sz w:val="24"/>
          <w:szCs w:val="24"/>
        </w:rPr>
        <w:t>（2）长廊：党建引领、党工工建、党建品牌、支部建设、党风廉政等。</w:t>
      </w:r>
    </w:p>
    <w:p w14:paraId="0287F7C9">
      <w:pPr>
        <w:spacing w:line="360" w:lineRule="auto"/>
        <w:ind w:firstLine="480" w:firstLineChars="200"/>
        <w:rPr>
          <w:rFonts w:hint="eastAsia" w:ascii="宋体" w:hAnsi="宋体" w:cs="宋体"/>
          <w:sz w:val="24"/>
          <w:szCs w:val="24"/>
        </w:rPr>
      </w:pPr>
      <w:r>
        <w:rPr>
          <w:rFonts w:hint="eastAsia" w:ascii="宋体" w:hAnsi="宋体" w:cs="宋体"/>
          <w:sz w:val="24"/>
          <w:szCs w:val="24"/>
        </w:rPr>
        <w:t>1、整体内容展示需根据长廊特性合理布局分布及动线；</w:t>
      </w:r>
    </w:p>
    <w:p w14:paraId="7F2C526F">
      <w:pPr>
        <w:spacing w:line="360" w:lineRule="auto"/>
        <w:ind w:firstLine="480" w:firstLineChars="200"/>
        <w:rPr>
          <w:rFonts w:hint="eastAsia" w:ascii="宋体" w:hAnsi="宋体" w:cs="宋体"/>
          <w:sz w:val="24"/>
          <w:szCs w:val="24"/>
        </w:rPr>
      </w:pPr>
      <w:r>
        <w:rPr>
          <w:rFonts w:hint="eastAsia" w:ascii="宋体" w:hAnsi="宋体" w:cs="宋体"/>
          <w:sz w:val="24"/>
          <w:szCs w:val="24"/>
        </w:rPr>
        <w:t>2、设计风格需与整体办公环境相融合；</w:t>
      </w:r>
    </w:p>
    <w:p w14:paraId="3C2040EC">
      <w:pPr>
        <w:spacing w:line="360" w:lineRule="auto"/>
        <w:ind w:firstLine="480" w:firstLineChars="200"/>
        <w:rPr>
          <w:rFonts w:hint="eastAsia" w:ascii="宋体" w:hAnsi="宋体" w:cs="宋体"/>
          <w:sz w:val="24"/>
          <w:szCs w:val="24"/>
        </w:rPr>
      </w:pPr>
      <w:r>
        <w:rPr>
          <w:rFonts w:hint="eastAsia" w:ascii="宋体" w:hAnsi="宋体" w:cs="宋体"/>
          <w:sz w:val="24"/>
          <w:szCs w:val="24"/>
        </w:rPr>
        <w:t>3、使用材料方面充分考虑后期内容更新，利于后期更换；</w:t>
      </w:r>
    </w:p>
    <w:p w14:paraId="7E90CD78">
      <w:pPr>
        <w:spacing w:line="360" w:lineRule="auto"/>
        <w:ind w:firstLine="480" w:firstLineChars="200"/>
        <w:rPr>
          <w:rFonts w:hint="eastAsia" w:ascii="宋体" w:hAnsi="宋体" w:cs="宋体"/>
          <w:sz w:val="24"/>
          <w:szCs w:val="24"/>
        </w:rPr>
      </w:pPr>
      <w:r>
        <w:rPr>
          <w:rFonts w:hint="eastAsia" w:ascii="宋体" w:hAnsi="宋体" w:cs="宋体"/>
          <w:sz w:val="24"/>
          <w:szCs w:val="24"/>
        </w:rPr>
        <w:t>4、长廊现有灯光昏暗，需结合展陈充分考虑。</w:t>
      </w:r>
    </w:p>
    <w:p w14:paraId="32D85341">
      <w:pPr>
        <w:spacing w:beforeLines="50" w:afterLines="50" w:line="360" w:lineRule="auto"/>
        <w:rPr>
          <w:rFonts w:asciiTheme="minorEastAsia" w:hAnsiTheme="minorEastAsia"/>
          <w:color w:val="000000" w:themeColor="text1"/>
          <w:sz w:val="24"/>
          <w:szCs w:val="24"/>
          <w14:textFill>
            <w14:solidFill>
              <w14:schemeClr w14:val="tx1"/>
            </w14:solidFill>
          </w14:textFill>
        </w:rPr>
      </w:pPr>
    </w:p>
    <w:p w14:paraId="3421841C">
      <w:pPr>
        <w:pStyle w:val="22"/>
        <w:rPr>
          <w:rFonts w:asciiTheme="minorEastAsia" w:hAnsiTheme="minorEastAsia"/>
          <w:color w:val="000000" w:themeColor="text1"/>
          <w:sz w:val="24"/>
          <w:szCs w:val="24"/>
          <w14:textFill>
            <w14:solidFill>
              <w14:schemeClr w14:val="tx1"/>
            </w14:solidFill>
          </w14:textFill>
        </w:rPr>
      </w:pPr>
    </w:p>
    <w:p w14:paraId="4F1D08C8">
      <w:pPr>
        <w:rPr>
          <w:rFonts w:asciiTheme="minorEastAsia" w:hAnsiTheme="minorEastAsia"/>
          <w:color w:val="000000" w:themeColor="text1"/>
          <w:sz w:val="24"/>
          <w:szCs w:val="24"/>
          <w14:textFill>
            <w14:solidFill>
              <w14:schemeClr w14:val="tx1"/>
            </w14:solidFill>
          </w14:textFill>
        </w:rPr>
      </w:pPr>
    </w:p>
    <w:p w14:paraId="0E458842">
      <w:pPr>
        <w:pStyle w:val="22"/>
        <w:rPr>
          <w:rFonts w:asciiTheme="minorEastAsia" w:hAnsiTheme="minorEastAsia"/>
          <w:color w:val="000000" w:themeColor="text1"/>
          <w:sz w:val="24"/>
          <w:szCs w:val="24"/>
          <w14:textFill>
            <w14:solidFill>
              <w14:schemeClr w14:val="tx1"/>
            </w14:solidFill>
          </w14:textFill>
        </w:rPr>
      </w:pPr>
    </w:p>
    <w:p w14:paraId="01A9F1B5">
      <w:pPr>
        <w:rPr>
          <w:rFonts w:asciiTheme="minorEastAsia" w:hAnsiTheme="minorEastAsia"/>
          <w:color w:val="000000" w:themeColor="text1"/>
          <w:sz w:val="24"/>
          <w:szCs w:val="24"/>
          <w14:textFill>
            <w14:solidFill>
              <w14:schemeClr w14:val="tx1"/>
            </w14:solidFill>
          </w14:textFill>
        </w:rPr>
      </w:pPr>
    </w:p>
    <w:p w14:paraId="23C59BCC">
      <w:pPr>
        <w:pStyle w:val="22"/>
        <w:rPr>
          <w:rFonts w:asciiTheme="minorEastAsia" w:hAnsiTheme="minorEastAsia"/>
          <w:color w:val="000000" w:themeColor="text1"/>
          <w:sz w:val="24"/>
          <w:szCs w:val="24"/>
          <w14:textFill>
            <w14:solidFill>
              <w14:schemeClr w14:val="tx1"/>
            </w14:solidFill>
          </w14:textFill>
        </w:rPr>
      </w:pPr>
    </w:p>
    <w:p w14:paraId="242B7AEB">
      <w:pPr>
        <w:rPr>
          <w:rFonts w:asciiTheme="minorEastAsia" w:hAnsiTheme="minorEastAsia"/>
          <w:color w:val="000000" w:themeColor="text1"/>
          <w:sz w:val="24"/>
          <w:szCs w:val="24"/>
          <w14:textFill>
            <w14:solidFill>
              <w14:schemeClr w14:val="tx1"/>
            </w14:solidFill>
          </w14:textFill>
        </w:rPr>
      </w:pPr>
    </w:p>
    <w:p w14:paraId="6C3C237B">
      <w:pPr>
        <w:pStyle w:val="22"/>
        <w:rPr>
          <w:rFonts w:asciiTheme="minorEastAsia" w:hAnsiTheme="minorEastAsia"/>
          <w:color w:val="000000" w:themeColor="text1"/>
          <w:sz w:val="24"/>
          <w:szCs w:val="24"/>
          <w14:textFill>
            <w14:solidFill>
              <w14:schemeClr w14:val="tx1"/>
            </w14:solidFill>
          </w14:textFill>
        </w:rPr>
      </w:pPr>
    </w:p>
    <w:p w14:paraId="14132B5C">
      <w:pPr>
        <w:rPr>
          <w:rFonts w:asciiTheme="minorEastAsia" w:hAnsiTheme="minorEastAsia"/>
          <w:color w:val="000000" w:themeColor="text1"/>
          <w:sz w:val="24"/>
          <w:szCs w:val="24"/>
          <w14:textFill>
            <w14:solidFill>
              <w14:schemeClr w14:val="tx1"/>
            </w14:solidFill>
          </w14:textFill>
        </w:rPr>
      </w:pPr>
    </w:p>
    <w:p w14:paraId="2A7F7137">
      <w:pPr>
        <w:pStyle w:val="22"/>
      </w:pPr>
    </w:p>
    <w:p w14:paraId="0EC8F3CE">
      <w:pPr>
        <w:pStyle w:val="2"/>
        <w:spacing w:before="240" w:after="240" w:line="360" w:lineRule="auto"/>
        <w:jc w:val="center"/>
        <w:rPr>
          <w:rFonts w:asciiTheme="minorEastAsia" w:hAnsiTheme="minorEastAsia" w:eastAsiaTheme="minorEastAsia"/>
          <w:color w:val="000000" w:themeColor="text1"/>
          <w14:textFill>
            <w14:solidFill>
              <w14:schemeClr w14:val="tx1"/>
            </w14:solidFill>
          </w14:textFill>
        </w:rPr>
      </w:pPr>
      <w:bookmarkStart w:id="2" w:name="_Toc517717028"/>
      <w:r>
        <w:rPr>
          <w:rFonts w:hint="eastAsia" w:asciiTheme="minorEastAsia" w:hAnsiTheme="minorEastAsia" w:eastAsiaTheme="minorEastAsia"/>
          <w:color w:val="000000" w:themeColor="text1"/>
          <w14:textFill>
            <w14:solidFill>
              <w14:schemeClr w14:val="tx1"/>
            </w14:solidFill>
          </w14:textFill>
        </w:rPr>
        <w:t>第四章  评标办法</w:t>
      </w:r>
      <w:bookmarkEnd w:id="2"/>
    </w:p>
    <w:p w14:paraId="76F2BF7C">
      <w:pPr>
        <w:tabs>
          <w:tab w:val="left" w:pos="3585"/>
        </w:tabs>
        <w:snapToGrid w:val="0"/>
        <w:spacing w:beforeLines="50" w:afterLines="50" w:line="360" w:lineRule="auto"/>
        <w:ind w:firstLine="472" w:firstLineChars="196"/>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一、</w:t>
      </w:r>
      <w:r>
        <w:rPr>
          <w:rFonts w:hint="eastAsia" w:asciiTheme="minorEastAsia" w:hAnsiTheme="minorEastAsia"/>
          <w:b/>
          <w:color w:val="000000" w:themeColor="text1"/>
          <w:sz w:val="24"/>
          <w:szCs w:val="24"/>
          <w14:textFill>
            <w14:solidFill>
              <w14:schemeClr w14:val="tx1"/>
            </w14:solidFill>
          </w14:textFill>
        </w:rPr>
        <w:t>招标人组织开标</w:t>
      </w:r>
    </w:p>
    <w:p w14:paraId="0C9190C9">
      <w:pPr>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磋商供应商的法定代表人或授权人须持有效身份证参加开标会。</w:t>
      </w:r>
    </w:p>
    <w:p w14:paraId="182792FE">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二、评委会的组成</w:t>
      </w:r>
    </w:p>
    <w:p w14:paraId="23F9CB8D">
      <w:pPr>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评委会由招标人代表和委托的专家共</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人以上单数组成，对投标文件进行审查、质疑、评估、比较。评委会按照公平、公正、择优的原则进行独立评标。</w:t>
      </w:r>
    </w:p>
    <w:p w14:paraId="0C6BF1B0">
      <w:pPr>
        <w:snapToGrid w:val="0"/>
        <w:spacing w:line="360" w:lineRule="auto"/>
        <w:ind w:firstLine="482" w:firstLineChars="20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（一）评审内容</w:t>
      </w:r>
    </w:p>
    <w:p w14:paraId="45DB2DDD">
      <w:pPr>
        <w:snapToGrid w:val="0"/>
        <w:spacing w:line="360" w:lineRule="auto"/>
        <w:ind w:firstLine="470" w:firstLineChars="196"/>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、磋商供应商投标资格；</w:t>
      </w:r>
    </w:p>
    <w:p w14:paraId="573A6FB2">
      <w:pPr>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、要求的保证金是否已提供；（本项目不涉及保证金）</w:t>
      </w:r>
    </w:p>
    <w:p w14:paraId="5CE67FCE">
      <w:pPr>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、投标文件是否完整；</w:t>
      </w:r>
    </w:p>
    <w:p w14:paraId="0D7EF40F">
      <w:pPr>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、投标文件是否恰当地签署；</w:t>
      </w:r>
    </w:p>
    <w:p w14:paraId="10CB4A76">
      <w:pPr>
        <w:snapToGrid w:val="0"/>
        <w:spacing w:line="360" w:lineRule="auto"/>
        <w:ind w:firstLine="480" w:firstLineChars="200"/>
        <w:jc w:val="left"/>
        <w:rPr>
          <w:rFonts w:asciiTheme="minorEastAsia" w:hAnsiTheme="minorEastAsia"/>
          <w:b/>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、是否作出实质性响应（</w:t>
      </w:r>
      <w:r>
        <w:rPr>
          <w:rFonts w:hint="eastAsia" w:asciiTheme="minorEastAsia" w:hAnsiTheme="minorEastAsia"/>
          <w:b/>
          <w:color w:val="000000" w:themeColor="text1"/>
          <w:sz w:val="24"/>
          <w:szCs w:val="24"/>
          <w14:textFill>
            <w14:solidFill>
              <w14:schemeClr w14:val="tx1"/>
            </w14:solidFill>
          </w14:textFill>
        </w:rPr>
        <w:t>是否有实质性响应，只根据投标文件本身，而不寻求外部证据）；</w:t>
      </w:r>
    </w:p>
    <w:p w14:paraId="708FEB0F">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、是否有计算错误。</w:t>
      </w:r>
    </w:p>
    <w:p w14:paraId="3978AA36">
      <w:pPr>
        <w:snapToGrid w:val="0"/>
        <w:spacing w:line="360" w:lineRule="auto"/>
        <w:ind w:firstLine="482" w:firstLineChars="200"/>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（二）相应的规定</w:t>
      </w:r>
    </w:p>
    <w:p w14:paraId="63B2D2F2">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如果单价汇总金额与总价金额有出入，以单价金额计算结果为准；</w:t>
      </w:r>
    </w:p>
    <w:p w14:paraId="7560CCB2">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、单价金额小数点有明显错位的，应以总价为准；</w:t>
      </w:r>
    </w:p>
    <w:p w14:paraId="686CCDFB">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、正本与副本有矛盾的，以正本为准；</w:t>
      </w:r>
    </w:p>
    <w:p w14:paraId="58502A15">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、若文件大写表示的数据与数字表示的有差别，以大写表示的数据为准。</w:t>
      </w:r>
    </w:p>
    <w:p w14:paraId="2FCC50CF">
      <w:pPr>
        <w:shd w:val="clear" w:color="auto" w:fill="FFFFFF"/>
        <w:adjustRightInd w:val="0"/>
        <w:snapToGrid w:val="0"/>
        <w:spacing w:line="480" w:lineRule="exact"/>
        <w:ind w:firstLine="480" w:firstLineChars="200"/>
        <w:rPr>
          <w:rFonts w:cs="宋体" w:asciiTheme="minorEastAsia" w:hAnsiTheme="minorEastAsia"/>
          <w:snapToGrid w:val="0"/>
          <w:color w:val="000000" w:themeColor="text1"/>
          <w:kern w:val="0"/>
          <w:sz w:val="24"/>
          <w14:textFill>
            <w14:solidFill>
              <w14:schemeClr w14:val="tx1"/>
            </w14:solidFill>
          </w14:textFill>
        </w:rPr>
      </w:pPr>
      <w:r>
        <w:rPr>
          <w:rFonts w:cs="宋体" w:asciiTheme="minorEastAsia" w:hAnsiTheme="minorEastAsia"/>
          <w:snapToGrid w:val="0"/>
          <w:color w:val="000000" w:themeColor="text1"/>
          <w:kern w:val="0"/>
          <w:sz w:val="24"/>
          <w14:textFill>
            <w14:solidFill>
              <w14:schemeClr w14:val="tx1"/>
            </w14:solidFill>
          </w14:textFill>
        </w:rPr>
        <w:t>5</w:t>
      </w:r>
      <w:r>
        <w:rPr>
          <w:rFonts w:hint="eastAsia" w:cs="宋体" w:asciiTheme="minorEastAsia" w:hAnsiTheme="minorEastAsia"/>
          <w:snapToGrid w:val="0"/>
          <w:color w:val="000000" w:themeColor="text1"/>
          <w:kern w:val="0"/>
          <w:sz w:val="24"/>
          <w14:textFill>
            <w14:solidFill>
              <w14:schemeClr w14:val="tx1"/>
            </w14:solidFill>
          </w14:textFill>
        </w:rPr>
        <w:t>、最后报价是供应商响应文件的有效组成部分。</w:t>
      </w:r>
    </w:p>
    <w:p w14:paraId="3DAF4FF9">
      <w:pPr>
        <w:shd w:val="clear" w:color="auto" w:fill="FFFFFF"/>
        <w:adjustRightInd w:val="0"/>
        <w:snapToGrid w:val="0"/>
        <w:spacing w:line="480" w:lineRule="exact"/>
        <w:ind w:firstLine="480" w:firstLineChars="200"/>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napToGrid w:val="0"/>
          <w:color w:val="000000" w:themeColor="text1"/>
          <w:kern w:val="0"/>
          <w:sz w:val="24"/>
          <w14:textFill>
            <w14:solidFill>
              <w14:schemeClr w14:val="tx1"/>
            </w14:solidFill>
          </w14:textFill>
        </w:rPr>
        <w:t>6</w:t>
      </w:r>
      <w:r>
        <w:rPr>
          <w:rFonts w:hint="eastAsia" w:cs="宋体" w:asciiTheme="minorEastAsia" w:hAnsiTheme="minorEastAsia"/>
          <w:snapToGrid w:val="0"/>
          <w:color w:val="000000" w:themeColor="text1"/>
          <w:kern w:val="0"/>
          <w:sz w:val="24"/>
          <w14:textFill>
            <w14:solidFill>
              <w14:schemeClr w14:val="tx1"/>
            </w14:solidFill>
          </w14:textFill>
        </w:rPr>
        <w:t>、除非在磋商中磋商小组对采购人需求内容作了调整增加，或对采购内容作了实质性变更，否则采购人不接受供应商高于自己前一轮的磋商报价。</w:t>
      </w:r>
    </w:p>
    <w:p w14:paraId="53BD5A38">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三、陈述、演示、答疑、澄清</w:t>
      </w:r>
    </w:p>
    <w:p w14:paraId="3D2E1F63">
      <w:pPr>
        <w:snapToGrid w:val="0"/>
        <w:spacing w:line="360" w:lineRule="auto"/>
        <w:ind w:firstLine="480" w:firstLineChars="20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shd w:val="clear" w:color="auto" w:fill="FFFFFF"/>
          <w14:textFill>
            <w14:solidFill>
              <w14:schemeClr w14:val="tx1"/>
            </w14:solidFill>
          </w14:textFill>
        </w:rPr>
        <w:t>如评委会认为有必要，磋商供应商按评委会的要求作陈述、演示、</w:t>
      </w:r>
      <w:r>
        <w:rPr>
          <w:rFonts w:hint="eastAsia" w:asciiTheme="minorEastAsia" w:hAnsiTheme="minorEastAsia"/>
          <w:color w:val="000000" w:themeColor="text1"/>
          <w:sz w:val="24"/>
          <w:szCs w:val="24"/>
          <w14:textFill>
            <w14:solidFill>
              <w14:schemeClr w14:val="tx1"/>
            </w14:solidFill>
          </w14:textFill>
        </w:rPr>
        <w:t>答疑及澄清其投标内容。时间由</w:t>
      </w:r>
      <w:r>
        <w:rPr>
          <w:rFonts w:hint="eastAsia" w:asciiTheme="minorEastAsia" w:hAnsiTheme="minorEastAsia"/>
          <w:color w:val="000000" w:themeColor="text1"/>
          <w:sz w:val="24"/>
          <w:szCs w:val="24"/>
          <w:shd w:val="clear" w:color="auto" w:fill="FFFFFF"/>
          <w14:textFill>
            <w14:solidFill>
              <w14:schemeClr w14:val="tx1"/>
            </w14:solidFill>
          </w14:textFill>
        </w:rPr>
        <w:t>评委会</w:t>
      </w:r>
      <w:r>
        <w:rPr>
          <w:rFonts w:hint="eastAsia" w:asciiTheme="minorEastAsia" w:hAnsiTheme="minorEastAsia"/>
          <w:color w:val="000000" w:themeColor="text1"/>
          <w:sz w:val="24"/>
          <w:szCs w:val="24"/>
          <w14:textFill>
            <w14:solidFill>
              <w14:schemeClr w14:val="tx1"/>
            </w14:solidFill>
          </w14:textFill>
        </w:rPr>
        <w:t>掌握。</w:t>
      </w:r>
    </w:p>
    <w:p w14:paraId="2B07DF51">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重要澄清答复应是书面的，但不得对投标内容进行实质性修改。</w:t>
      </w:r>
    </w:p>
    <w:p w14:paraId="3436A6BC">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四、出现下列情形之一的，作无效投标处理</w:t>
      </w:r>
    </w:p>
    <w:p w14:paraId="26F04AED">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1、未按照招标文件规定要求密封、签署、盖章的；</w:t>
      </w:r>
    </w:p>
    <w:p w14:paraId="0274CD7E">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2、未按照规定缴纳投标保证金。</w:t>
      </w:r>
    </w:p>
    <w:p w14:paraId="734D5D41">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投标人在报价时采用选择性报价；</w:t>
      </w:r>
    </w:p>
    <w:p w14:paraId="48265EB6">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4、投标人不具备招标文件中规定资格要求的；</w:t>
      </w:r>
    </w:p>
    <w:p w14:paraId="4A90FCD9">
      <w:pPr>
        <w:spacing w:line="360" w:lineRule="auto"/>
        <w:ind w:left="959" w:leftChars="228" w:hanging="480" w:hanging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5、不符合法律、法规和招标文件中规定的其他实质性要求的（本招标文件中带★标识或有斜体下划线部分为实质性要求和条件）；</w:t>
      </w:r>
    </w:p>
    <w:p w14:paraId="168BC321">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6、投标报价高于采购预算的；</w:t>
      </w:r>
    </w:p>
    <w:p w14:paraId="2DA566A5">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7、其他法律、法规及本招标文件规定的属无效投标的情形。</w:t>
      </w:r>
    </w:p>
    <w:p w14:paraId="2B5254D5">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五、出现下列情形之一的，作废标处理</w:t>
      </w:r>
    </w:p>
    <w:p w14:paraId="3D930CE1">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、出现影响采购公正的违法违规行为的；</w:t>
      </w:r>
    </w:p>
    <w:p w14:paraId="55C4EB63">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、磋商供应商的报价均超过了采购预算，采购人不能支付的；</w:t>
      </w:r>
    </w:p>
    <w:p w14:paraId="5632F293">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、因重大变故，采购任务取消的。</w:t>
      </w:r>
    </w:p>
    <w:p w14:paraId="586CD4F6">
      <w:pPr>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上述均保留</w:t>
      </w:r>
      <w:r>
        <w:rPr>
          <w:rFonts w:hint="eastAsia" w:asciiTheme="minorEastAsia" w:hAnsiTheme="minorEastAsia"/>
          <w:color w:val="000000" w:themeColor="text1"/>
          <w:sz w:val="24"/>
          <w:szCs w:val="24"/>
          <w:shd w:val="clear" w:color="auto" w:fill="FFFFFF"/>
          <w14:textFill>
            <w14:solidFill>
              <w14:schemeClr w14:val="tx1"/>
            </w14:solidFill>
          </w14:textFill>
        </w:rPr>
        <w:t>评委会</w:t>
      </w:r>
      <w:r>
        <w:rPr>
          <w:rFonts w:hint="eastAsia" w:asciiTheme="minorEastAsia" w:hAnsiTheme="minorEastAsia"/>
          <w:color w:val="000000" w:themeColor="text1"/>
          <w:sz w:val="24"/>
          <w:szCs w:val="24"/>
          <w14:textFill>
            <w14:solidFill>
              <w14:schemeClr w14:val="tx1"/>
            </w14:solidFill>
          </w14:textFill>
        </w:rPr>
        <w:t>认定可以确定为无效投标或废标的其他情况。</w:t>
      </w:r>
    </w:p>
    <w:p w14:paraId="3A8F497E">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六、变更为其他方式采购的情形</w:t>
      </w:r>
    </w:p>
    <w:p w14:paraId="135B4B1A">
      <w:pPr>
        <w:autoSpaceDE w:val="0"/>
        <w:autoSpaceDN w:val="0"/>
        <w:snapToGrid w:val="0"/>
        <w:spacing w:line="360" w:lineRule="auto"/>
        <w:ind w:firstLine="480" w:firstLineChars="200"/>
        <w:jc w:val="left"/>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投标截止时间出现如下情形的，参加投标的供应商不足</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家的，及评标中出现符合专业条件的供应商或对招标文件作实质响应的磋商供应商不足</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家的，招标人视情采取其他方式采购。</w:t>
      </w:r>
      <w:r>
        <w:rPr>
          <w:rFonts w:hint="eastAsia" w:asciiTheme="minorEastAsia" w:hAnsiTheme="minorEastAsia"/>
          <w:color w:val="000000" w:themeColor="text1"/>
          <w:sz w:val="24"/>
          <w:szCs w:val="24"/>
          <w:lang w:val="zh-CN"/>
          <w14:textFill>
            <w14:solidFill>
              <w14:schemeClr w14:val="tx1"/>
            </w14:solidFill>
          </w14:textFill>
        </w:rPr>
        <w:t>本次招标文件中对供应商资格、技术等要求，将作为</w:t>
      </w:r>
      <w:r>
        <w:rPr>
          <w:rFonts w:hint="eastAsia" w:asciiTheme="minorEastAsia" w:hAnsiTheme="minorEastAsia"/>
          <w:color w:val="000000" w:themeColor="text1"/>
          <w:sz w:val="24"/>
          <w:szCs w:val="24"/>
          <w14:textFill>
            <w14:solidFill>
              <w14:schemeClr w14:val="tx1"/>
            </w14:solidFill>
          </w14:textFill>
        </w:rPr>
        <w:t>其他</w:t>
      </w:r>
      <w:r>
        <w:rPr>
          <w:rFonts w:hint="eastAsia" w:asciiTheme="minorEastAsia" w:hAnsiTheme="minorEastAsia"/>
          <w:color w:val="000000" w:themeColor="text1"/>
          <w:sz w:val="24"/>
          <w:szCs w:val="24"/>
          <w:lang w:val="zh-CN"/>
          <w14:textFill>
            <w14:solidFill>
              <w14:schemeClr w14:val="tx1"/>
            </w14:solidFill>
          </w14:textFill>
        </w:rPr>
        <w:t>方式采购的基本要求和依据。原已经参加投标并符合要求的供应商，根据自愿原则，参加</w:t>
      </w:r>
      <w:r>
        <w:rPr>
          <w:rFonts w:hint="eastAsia" w:asciiTheme="minorEastAsia" w:hAnsiTheme="minorEastAsia"/>
          <w:color w:val="000000" w:themeColor="text1"/>
          <w:sz w:val="24"/>
          <w:szCs w:val="24"/>
          <w14:textFill>
            <w14:solidFill>
              <w14:schemeClr w14:val="tx1"/>
            </w14:solidFill>
          </w14:textFill>
        </w:rPr>
        <w:t>其他</w:t>
      </w:r>
      <w:r>
        <w:rPr>
          <w:rFonts w:hint="eastAsia" w:asciiTheme="minorEastAsia" w:hAnsiTheme="minorEastAsia"/>
          <w:color w:val="000000" w:themeColor="text1"/>
          <w:sz w:val="24"/>
          <w:szCs w:val="24"/>
          <w:lang w:val="zh-CN"/>
          <w14:textFill>
            <w14:solidFill>
              <w14:schemeClr w14:val="tx1"/>
            </w14:solidFill>
          </w14:textFill>
        </w:rPr>
        <w:t>方式采购。</w:t>
      </w:r>
    </w:p>
    <w:p w14:paraId="4C8C8BC4">
      <w:pPr>
        <w:tabs>
          <w:tab w:val="left" w:pos="3585"/>
        </w:tabs>
        <w:snapToGrid w:val="0"/>
        <w:spacing w:beforeLines="50" w:afterLines="50" w:line="360" w:lineRule="auto"/>
        <w:ind w:firstLine="472" w:firstLineChars="196"/>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七、评分标准</w:t>
      </w:r>
    </w:p>
    <w:p w14:paraId="7475C6A8">
      <w:pPr>
        <w:autoSpaceDE w:val="0"/>
        <w:autoSpaceDN w:val="0"/>
        <w:snapToGrid w:val="0"/>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次招标的评标方法采用综合评分法。即在最大限度地满足招标文件实质性要求前提下，按照招标文件中规定的各项因素进行综合评审，以评标总得分最高的磋商供应商作为中标候选供应商或者中标供应商的评标办法。</w:t>
      </w:r>
    </w:p>
    <w:p w14:paraId="1038BA43">
      <w:pPr>
        <w:snapToGrid w:val="0"/>
        <w:spacing w:line="300" w:lineRule="auto"/>
        <w:ind w:firstLine="555"/>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首先由采购人评审磋商供应商资格性、符合性，对合格的磋商供应商由评标委员会评审商务技术标，待商务技术标评审结束后，再评审价格。</w:t>
      </w:r>
    </w:p>
    <w:p w14:paraId="187AE919">
      <w:pPr>
        <w:snapToGrid w:val="0"/>
        <w:spacing w:line="300" w:lineRule="auto"/>
        <w:ind w:firstLine="555"/>
        <w:rPr>
          <w:rFonts w:asciiTheme="minorEastAsia" w:hAnsiTheme="minorEastAsia"/>
          <w:b/>
          <w:color w:val="000000" w:themeColor="text1"/>
          <w:sz w:val="24"/>
          <w:szCs w:val="28"/>
          <w14:textFill>
            <w14:solidFill>
              <w14:schemeClr w14:val="tx1"/>
            </w14:solidFill>
          </w14:textFill>
        </w:rPr>
      </w:pPr>
      <w:r>
        <w:rPr>
          <w:rFonts w:hint="eastAsia" w:asciiTheme="minorEastAsia" w:hAnsiTheme="minorEastAsia"/>
          <w:b/>
          <w:color w:val="000000" w:themeColor="text1"/>
          <w:sz w:val="24"/>
          <w:szCs w:val="28"/>
          <w14:textFill>
            <w14:solidFill>
              <w14:schemeClr w14:val="tx1"/>
            </w14:solidFill>
          </w14:textFill>
        </w:rPr>
        <w:t>评委在认真审阅投标文件的基础上，根据各投标文件的商务技术部分的响应情况，对各评分项目进行评分。</w:t>
      </w:r>
    </w:p>
    <w:p w14:paraId="451D7C3E">
      <w:pPr>
        <w:snapToGrid w:val="0"/>
        <w:spacing w:line="300" w:lineRule="auto"/>
        <w:ind w:firstLine="482" w:firstLineChars="200"/>
        <w:rPr>
          <w:rFonts w:asciiTheme="minorEastAsia" w:hAnsiTheme="minorEastAsia"/>
          <w:b/>
          <w:color w:val="000000" w:themeColor="text1"/>
          <w:sz w:val="24"/>
          <w:szCs w:val="28"/>
          <w14:textFill>
            <w14:solidFill>
              <w14:schemeClr w14:val="tx1"/>
            </w14:solidFill>
          </w14:textFill>
        </w:rPr>
      </w:pPr>
      <w:r>
        <w:rPr>
          <w:rFonts w:hint="eastAsia" w:asciiTheme="minorEastAsia" w:hAnsiTheme="minorEastAsia"/>
          <w:b/>
          <w:color w:val="000000" w:themeColor="text1"/>
          <w:sz w:val="24"/>
          <w:szCs w:val="28"/>
          <w14:textFill>
            <w14:solidFill>
              <w14:schemeClr w14:val="tx1"/>
            </w14:solidFill>
          </w14:textFill>
        </w:rPr>
        <w:t>（一）采购人代表对磋商供应商资格性、符合性审查。</w:t>
      </w:r>
    </w:p>
    <w:p w14:paraId="5B955EB6">
      <w:pPr>
        <w:pStyle w:val="28"/>
        <w:snapToGrid w:val="0"/>
        <w:spacing w:line="300" w:lineRule="auto"/>
        <w:ind w:firstLine="494"/>
        <w:contextualSpacing/>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磋商供应商资格性、符合性不合格的，其投标文件判定为无效投标文件。合格的，评委对其投标文件继续评审。</w:t>
      </w:r>
    </w:p>
    <w:p w14:paraId="6D1718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（二）评委将以采购文件为评标依据，对投标人的投标报价、技术文件及商务文件等内容打分。</w:t>
      </w:r>
    </w:p>
    <w:p w14:paraId="10EE19C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（三）评分标准：</w:t>
      </w:r>
    </w:p>
    <w:p w14:paraId="19C6AE4E">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本项目采用综合评分法确定中标候选人。评标委员会将按下列评分办法和标准进行评分，总分值为</w:t>
      </w:r>
      <w:r>
        <w:rPr>
          <w:rFonts w:asciiTheme="minorEastAsia" w:hAnsiTheme="minorEastAsia"/>
          <w:color w:val="000000" w:themeColor="text1"/>
          <w:sz w:val="24"/>
          <w14:textFill>
            <w14:solidFill>
              <w14:schemeClr w14:val="tx1"/>
            </w14:solidFill>
          </w14:textFill>
        </w:rPr>
        <w:t>100分。</w:t>
      </w:r>
    </w:p>
    <w:tbl>
      <w:tblPr>
        <w:tblStyle w:val="1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02"/>
        <w:gridCol w:w="1276"/>
        <w:gridCol w:w="6158"/>
      </w:tblGrid>
      <w:tr w14:paraId="185F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14:paraId="7FB8E990">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bookmarkStart w:id="3" w:name="_Toc217446060"/>
            <w:r>
              <w:rPr>
                <w:rFonts w:hint="eastAsia" w:asciiTheme="minorEastAsia" w:hAnsiTheme="minorEastAsia"/>
                <w:color w:val="000000" w:themeColor="text1"/>
                <w:sz w:val="24"/>
                <w:szCs w:val="24"/>
                <w14:textFill>
                  <w14:solidFill>
                    <w14:schemeClr w14:val="tx1"/>
                  </w14:solidFill>
                </w14:textFill>
              </w:rPr>
              <w:t>序号</w:t>
            </w:r>
          </w:p>
        </w:tc>
        <w:tc>
          <w:tcPr>
            <w:tcW w:w="1002" w:type="dxa"/>
            <w:tcBorders>
              <w:top w:val="single" w:color="auto" w:sz="4" w:space="0"/>
              <w:left w:val="single" w:color="auto" w:sz="4" w:space="0"/>
              <w:bottom w:val="single" w:color="auto" w:sz="4" w:space="0"/>
              <w:right w:val="single" w:color="auto" w:sz="4" w:space="0"/>
            </w:tcBorders>
            <w:vAlign w:val="center"/>
          </w:tcPr>
          <w:p w14:paraId="31A52C97">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评分因素</w:t>
            </w:r>
          </w:p>
        </w:tc>
        <w:tc>
          <w:tcPr>
            <w:tcW w:w="1276" w:type="dxa"/>
            <w:tcBorders>
              <w:top w:val="single" w:color="auto" w:sz="4" w:space="0"/>
              <w:left w:val="single" w:color="auto" w:sz="4" w:space="0"/>
              <w:bottom w:val="single" w:color="auto" w:sz="4" w:space="0"/>
              <w:right w:val="single" w:color="auto" w:sz="4" w:space="0"/>
            </w:tcBorders>
            <w:vAlign w:val="center"/>
          </w:tcPr>
          <w:p w14:paraId="0BC5DFDB">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分值</w:t>
            </w:r>
          </w:p>
          <w:p w14:paraId="02487F69">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（100分）</w:t>
            </w:r>
          </w:p>
        </w:tc>
        <w:tc>
          <w:tcPr>
            <w:tcW w:w="6158" w:type="dxa"/>
            <w:tcBorders>
              <w:top w:val="single" w:color="auto" w:sz="4" w:space="0"/>
              <w:left w:val="single" w:color="auto" w:sz="4" w:space="0"/>
              <w:bottom w:val="single" w:color="auto" w:sz="4" w:space="0"/>
              <w:right w:val="single" w:color="auto" w:sz="4" w:space="0"/>
            </w:tcBorders>
            <w:vAlign w:val="center"/>
          </w:tcPr>
          <w:p w14:paraId="3EDF9453">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评分标准</w:t>
            </w:r>
          </w:p>
        </w:tc>
      </w:tr>
      <w:tr w14:paraId="5F78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14:paraId="7A70206A">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1002" w:type="dxa"/>
            <w:tcBorders>
              <w:top w:val="single" w:color="auto" w:sz="4" w:space="0"/>
              <w:left w:val="single" w:color="auto" w:sz="4" w:space="0"/>
              <w:bottom w:val="single" w:color="auto" w:sz="4" w:space="0"/>
              <w:right w:val="single" w:color="auto" w:sz="4" w:space="0"/>
            </w:tcBorders>
            <w:vAlign w:val="center"/>
          </w:tcPr>
          <w:p w14:paraId="6FB5A8BA">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报价</w:t>
            </w:r>
          </w:p>
        </w:tc>
        <w:tc>
          <w:tcPr>
            <w:tcW w:w="1276" w:type="dxa"/>
            <w:tcBorders>
              <w:top w:val="single" w:color="auto" w:sz="4" w:space="0"/>
              <w:left w:val="single" w:color="auto" w:sz="4" w:space="0"/>
              <w:bottom w:val="single" w:color="auto" w:sz="4" w:space="0"/>
              <w:right w:val="single" w:color="auto" w:sz="4" w:space="0"/>
            </w:tcBorders>
            <w:vAlign w:val="center"/>
          </w:tcPr>
          <w:p w14:paraId="666558AE">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分</w:t>
            </w:r>
          </w:p>
        </w:tc>
        <w:tc>
          <w:tcPr>
            <w:tcW w:w="6158" w:type="dxa"/>
            <w:tcBorders>
              <w:top w:val="single" w:color="auto" w:sz="4" w:space="0"/>
              <w:left w:val="single" w:color="auto" w:sz="4" w:space="0"/>
              <w:bottom w:val="single" w:color="auto" w:sz="4" w:space="0"/>
              <w:right w:val="single" w:color="auto" w:sz="4" w:space="0"/>
            </w:tcBorders>
            <w:vAlign w:val="center"/>
          </w:tcPr>
          <w:p w14:paraId="507C6EA9">
            <w:pPr>
              <w:adjustRightInd w:val="0"/>
              <w:snapToGrid w:val="0"/>
              <w:spacing w:beforeLines="50" w:afterLines="50" w:line="30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满足招标文件要求且投标价格最低的投标报价为评标基准价，其投标人的报价分为最高分</w:t>
            </w:r>
            <w:r>
              <w:rPr>
                <w:rFonts w:hint="eastAsia" w:asciiTheme="minorEastAsia" w:hAnsiTheme="minorEastAsia"/>
                <w:color w:val="000000" w:themeColor="text1"/>
                <w:sz w:val="24"/>
                <w:szCs w:val="24"/>
                <w:lang w:val="en-US" w:eastAsia="zh-CN"/>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分。其他投标人的报价分按以下公式计算：报价得分=(评标基准价／投标报价)×</w:t>
            </w:r>
            <w:r>
              <w:rPr>
                <w:rFonts w:hint="eastAsia" w:asciiTheme="minorEastAsia" w:hAnsiTheme="minorEastAsia"/>
                <w:color w:val="000000" w:themeColor="text1"/>
                <w:sz w:val="24"/>
                <w:szCs w:val="24"/>
                <w:lang w:val="en-US" w:eastAsia="zh-CN"/>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
                <w:bCs/>
                <w:color w:val="000000" w:themeColor="text1"/>
                <w:sz w:val="24"/>
                <w:szCs w:val="24"/>
                <w14:textFill>
                  <w14:solidFill>
                    <w14:schemeClr w14:val="tx1"/>
                  </w14:solidFill>
                </w14:textFill>
              </w:rPr>
              <w:t>分值四舍五入保留两位小数</w:t>
            </w:r>
            <w:r>
              <w:rPr>
                <w:rFonts w:hint="eastAsia" w:asciiTheme="minorEastAsia" w:hAnsiTheme="minorEastAsia"/>
                <w:color w:val="000000" w:themeColor="text1"/>
                <w:sz w:val="24"/>
                <w:szCs w:val="24"/>
                <w14:textFill>
                  <w14:solidFill>
                    <w14:schemeClr w14:val="tx1"/>
                  </w14:solidFill>
                </w14:textFill>
              </w:rPr>
              <w:t>。</w:t>
            </w:r>
          </w:p>
        </w:tc>
      </w:tr>
      <w:tr w14:paraId="6583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right w:val="single" w:color="auto" w:sz="4" w:space="0"/>
            </w:tcBorders>
            <w:vAlign w:val="center"/>
          </w:tcPr>
          <w:p w14:paraId="3FFB2D07">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1002" w:type="dxa"/>
            <w:tcBorders>
              <w:top w:val="single" w:color="auto" w:sz="4" w:space="0"/>
              <w:left w:val="single" w:color="auto" w:sz="4" w:space="0"/>
              <w:right w:val="single" w:color="auto" w:sz="4" w:space="0"/>
            </w:tcBorders>
            <w:vAlign w:val="center"/>
          </w:tcPr>
          <w:p w14:paraId="477DD409">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企业综合实力</w:t>
            </w:r>
          </w:p>
        </w:tc>
        <w:tc>
          <w:tcPr>
            <w:tcW w:w="1276" w:type="dxa"/>
            <w:tcBorders>
              <w:top w:val="single" w:color="auto" w:sz="4" w:space="0"/>
              <w:left w:val="single" w:color="auto" w:sz="4" w:space="0"/>
              <w:right w:val="single" w:color="auto" w:sz="4" w:space="0"/>
            </w:tcBorders>
            <w:vAlign w:val="center"/>
          </w:tcPr>
          <w:p w14:paraId="2DF482C5">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30分</w:t>
            </w:r>
          </w:p>
        </w:tc>
        <w:tc>
          <w:tcPr>
            <w:tcW w:w="6158" w:type="dxa"/>
            <w:tcBorders>
              <w:top w:val="single" w:color="auto" w:sz="4" w:space="0"/>
              <w:left w:val="single" w:color="auto" w:sz="4" w:space="0"/>
              <w:bottom w:val="single" w:color="auto" w:sz="4" w:space="0"/>
              <w:right w:val="single" w:color="auto" w:sz="4" w:space="0"/>
            </w:tcBorders>
            <w:vAlign w:val="center"/>
          </w:tcPr>
          <w:p w14:paraId="1432384F">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提供近三年（</w:t>
            </w:r>
            <w:r>
              <w:rPr>
                <w:rFonts w:hint="eastAsia" w:ascii="宋体" w:hAnsi="宋体" w:cs="宋体"/>
                <w:sz w:val="24"/>
                <w:szCs w:val="24"/>
                <w:lang w:eastAsia="zh-CN"/>
              </w:rPr>
              <w:t>2021</w:t>
            </w:r>
            <w:r>
              <w:rPr>
                <w:rFonts w:hint="eastAsia" w:ascii="宋体" w:hAnsi="宋体" w:cs="宋体"/>
                <w:sz w:val="24"/>
                <w:szCs w:val="24"/>
              </w:rPr>
              <w:t>年</w:t>
            </w:r>
            <w:r>
              <w:rPr>
                <w:rFonts w:hint="eastAsia" w:ascii="宋体" w:hAnsi="宋体" w:cs="宋体"/>
                <w:sz w:val="24"/>
                <w:szCs w:val="24"/>
                <w:lang w:eastAsia="zh-CN"/>
              </w:rPr>
              <w:t>6月</w:t>
            </w:r>
            <w:r>
              <w:rPr>
                <w:rFonts w:hint="eastAsia" w:ascii="宋体" w:hAnsi="宋体" w:cs="宋体"/>
                <w:sz w:val="24"/>
                <w:szCs w:val="24"/>
              </w:rPr>
              <w:t>至今）市级以上整体</w:t>
            </w:r>
            <w:r>
              <w:rPr>
                <w:rFonts w:hint="eastAsia" w:ascii="宋体" w:hAnsi="宋体" w:cs="宋体"/>
                <w:sz w:val="24"/>
                <w:szCs w:val="24"/>
                <w:lang w:eastAsia="zh-CN"/>
              </w:rPr>
              <w:t>布展设计策划</w:t>
            </w:r>
            <w:r>
              <w:rPr>
                <w:rFonts w:hint="eastAsia" w:ascii="宋体" w:hAnsi="宋体" w:cs="宋体"/>
                <w:sz w:val="24"/>
                <w:szCs w:val="24"/>
              </w:rPr>
              <w:t>执行项目25万（包括25万）以上案例，分值30分，提供合同复印件，时间以合同签订时间为准（原件备查）；</w:t>
            </w:r>
          </w:p>
          <w:p w14:paraId="110B159C">
            <w:pPr>
              <w:snapToGrid w:val="0"/>
              <w:spacing w:line="480" w:lineRule="exact"/>
              <w:ind w:firstLine="484" w:firstLineChars="202"/>
              <w:outlineLvl w:val="2"/>
              <w:rPr>
                <w:rFonts w:asciiTheme="minorEastAsia" w:hAnsiTheme="minorEastAsia"/>
                <w:color w:val="000000" w:themeColor="text1"/>
                <w:sz w:val="24"/>
                <w:szCs w:val="24"/>
                <w14:textFill>
                  <w14:solidFill>
                    <w14:schemeClr w14:val="tx1"/>
                  </w14:solidFill>
                </w14:textFill>
              </w:rPr>
            </w:pPr>
            <w:r>
              <w:rPr>
                <w:rFonts w:hint="eastAsia" w:ascii="宋体" w:hAnsi="宋体" w:cs="宋体"/>
                <w:sz w:val="24"/>
                <w:szCs w:val="24"/>
              </w:rPr>
              <w:t>评分标准：一个案例3分，最高得30分，没有不得分。</w:t>
            </w:r>
          </w:p>
        </w:tc>
      </w:tr>
      <w:tr w14:paraId="200A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right w:val="single" w:color="auto" w:sz="4" w:space="0"/>
            </w:tcBorders>
            <w:vAlign w:val="center"/>
          </w:tcPr>
          <w:p w14:paraId="3E26E7D5">
            <w:pPr>
              <w:adjustRightInd w:val="0"/>
              <w:snapToGrid w:val="0"/>
              <w:spacing w:beforeLines="50" w:afterLines="50" w:line="300" w:lineRule="auto"/>
              <w:ind w:firstLine="28"/>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1002" w:type="dxa"/>
            <w:tcBorders>
              <w:top w:val="single" w:color="auto" w:sz="4" w:space="0"/>
              <w:left w:val="single" w:color="auto" w:sz="4" w:space="0"/>
              <w:right w:val="single" w:color="auto" w:sz="4" w:space="0"/>
            </w:tcBorders>
            <w:vAlign w:val="center"/>
          </w:tcPr>
          <w:p w14:paraId="67E8A4C7">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宋体" w:hAnsi="宋体" w:cs="宋体"/>
                <w:sz w:val="24"/>
                <w:szCs w:val="24"/>
              </w:rPr>
              <w:t>设计方案文件</w:t>
            </w:r>
          </w:p>
        </w:tc>
        <w:tc>
          <w:tcPr>
            <w:tcW w:w="1276" w:type="dxa"/>
            <w:tcBorders>
              <w:top w:val="single" w:color="auto" w:sz="4" w:space="0"/>
              <w:left w:val="single" w:color="auto" w:sz="4" w:space="0"/>
              <w:right w:val="single" w:color="auto" w:sz="4" w:space="0"/>
            </w:tcBorders>
            <w:vAlign w:val="center"/>
          </w:tcPr>
          <w:p w14:paraId="1B482983">
            <w:pPr>
              <w:adjustRightInd w:val="0"/>
              <w:snapToGrid w:val="0"/>
              <w:spacing w:beforeLines="50" w:afterLines="50" w:line="30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40</w:t>
            </w:r>
            <w:r>
              <w:rPr>
                <w:rFonts w:hint="eastAsia" w:asciiTheme="minorEastAsia" w:hAnsiTheme="minorEastAsia"/>
                <w:color w:val="000000" w:themeColor="text1"/>
                <w:sz w:val="24"/>
                <w:szCs w:val="24"/>
                <w14:textFill>
                  <w14:solidFill>
                    <w14:schemeClr w14:val="tx1"/>
                  </w14:solidFill>
                </w14:textFill>
              </w:rPr>
              <w:t>分</w:t>
            </w:r>
          </w:p>
        </w:tc>
        <w:tc>
          <w:tcPr>
            <w:tcW w:w="6158" w:type="dxa"/>
            <w:tcBorders>
              <w:top w:val="single" w:color="auto" w:sz="4" w:space="0"/>
              <w:left w:val="single" w:color="auto" w:sz="4" w:space="0"/>
              <w:bottom w:val="single" w:color="auto" w:sz="4" w:space="0"/>
              <w:right w:val="single" w:color="auto" w:sz="4" w:space="0"/>
            </w:tcBorders>
            <w:vAlign w:val="center"/>
          </w:tcPr>
          <w:p w14:paraId="1446A5BE">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布展</w:t>
            </w:r>
            <w:r>
              <w:rPr>
                <w:rFonts w:hint="eastAsia" w:ascii="宋体" w:hAnsi="宋体" w:cs="宋体"/>
                <w:sz w:val="24"/>
                <w:szCs w:val="24"/>
              </w:rPr>
              <w:t>整体布局图，分值为10分。</w:t>
            </w:r>
          </w:p>
          <w:p w14:paraId="2BC27005">
            <w:pPr>
              <w:snapToGrid w:val="0"/>
              <w:spacing w:line="480" w:lineRule="exact"/>
              <w:ind w:firstLine="484" w:firstLineChars="202"/>
              <w:outlineLvl w:val="2"/>
              <w:rPr>
                <w:rFonts w:hint="eastAsia" w:ascii="宋体" w:hAnsi="宋体" w:cs="宋体" w:eastAsiaTheme="minorEastAsia"/>
                <w:sz w:val="24"/>
                <w:szCs w:val="24"/>
                <w:lang w:eastAsia="zh-CN"/>
              </w:rPr>
            </w:pPr>
            <w:r>
              <w:rPr>
                <w:rFonts w:hint="eastAsia" w:ascii="宋体" w:hAnsi="宋体" w:cs="宋体"/>
                <w:sz w:val="24"/>
                <w:szCs w:val="24"/>
              </w:rPr>
              <w:t>评分标准：全面布局设置地点、内容全面合理7</w:t>
            </w:r>
            <w:r>
              <w:rPr>
                <w:rFonts w:ascii="宋体" w:hAnsi="宋体" w:cs="宋体"/>
                <w:sz w:val="24"/>
                <w:szCs w:val="24"/>
              </w:rPr>
              <w:t>-</w:t>
            </w:r>
            <w:r>
              <w:rPr>
                <w:rFonts w:hint="eastAsia" w:ascii="宋体" w:hAnsi="宋体" w:cs="宋体"/>
                <w:sz w:val="24"/>
                <w:szCs w:val="24"/>
              </w:rPr>
              <w:t>10分，一般4</w:t>
            </w:r>
            <w:r>
              <w:rPr>
                <w:rFonts w:ascii="宋体" w:hAnsi="宋体" w:cs="宋体"/>
                <w:sz w:val="24"/>
                <w:szCs w:val="24"/>
              </w:rPr>
              <w:t>-</w:t>
            </w:r>
            <w:r>
              <w:rPr>
                <w:rFonts w:hint="eastAsia" w:ascii="宋体" w:hAnsi="宋体" w:cs="宋体"/>
                <w:sz w:val="24"/>
                <w:szCs w:val="24"/>
              </w:rPr>
              <w:t>6分，较差</w:t>
            </w:r>
            <w:r>
              <w:rPr>
                <w:rFonts w:ascii="宋体" w:hAnsi="宋体" w:cs="宋体"/>
                <w:sz w:val="24"/>
                <w:szCs w:val="24"/>
              </w:rPr>
              <w:t>0</w:t>
            </w:r>
            <w:r>
              <w:rPr>
                <w:rFonts w:hint="eastAsia" w:ascii="宋体" w:hAnsi="宋体" w:cs="宋体"/>
                <w:sz w:val="24"/>
                <w:szCs w:val="24"/>
              </w:rPr>
              <w:t>-3分</w:t>
            </w:r>
            <w:r>
              <w:rPr>
                <w:rFonts w:hint="eastAsia" w:ascii="宋体" w:hAnsi="宋体" w:cs="宋体"/>
                <w:sz w:val="24"/>
                <w:szCs w:val="24"/>
                <w:lang w:eastAsia="zh-CN"/>
              </w:rPr>
              <w:t>，未提供不得分。</w:t>
            </w:r>
          </w:p>
          <w:p w14:paraId="3CB823A9">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（2）会场布置类，分值</w:t>
            </w:r>
            <w:r>
              <w:rPr>
                <w:rFonts w:hint="eastAsia" w:ascii="宋体" w:hAnsi="宋体" w:cs="宋体"/>
                <w:sz w:val="24"/>
                <w:szCs w:val="24"/>
                <w:lang w:val="en-US" w:eastAsia="zh-CN"/>
              </w:rPr>
              <w:t>10</w:t>
            </w:r>
            <w:r>
              <w:rPr>
                <w:rFonts w:hint="eastAsia" w:ascii="宋体" w:hAnsi="宋体" w:cs="宋体"/>
                <w:sz w:val="24"/>
                <w:szCs w:val="24"/>
              </w:rPr>
              <w:t>分；</w:t>
            </w:r>
          </w:p>
          <w:p w14:paraId="3FA5EDAF">
            <w:pPr>
              <w:snapToGrid w:val="0"/>
              <w:spacing w:line="480" w:lineRule="exact"/>
              <w:outlineLvl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 1 \* GB3 \* MERGEFORMAT </w:instrText>
            </w:r>
            <w:r>
              <w:rPr>
                <w:rFonts w:hint="eastAsia" w:ascii="宋体" w:hAnsi="宋体" w:cs="宋体"/>
                <w:sz w:val="24"/>
                <w:szCs w:val="24"/>
              </w:rPr>
              <w:fldChar w:fldCharType="separate"/>
            </w:r>
            <w:r>
              <w:t>①</w:t>
            </w:r>
            <w:r>
              <w:rPr>
                <w:rFonts w:hint="eastAsia" w:ascii="宋体" w:hAnsi="宋体" w:cs="宋体"/>
                <w:sz w:val="24"/>
                <w:szCs w:val="24"/>
              </w:rPr>
              <w:fldChar w:fldCharType="end"/>
            </w:r>
            <w:r>
              <w:rPr>
                <w:rFonts w:hint="eastAsia" w:ascii="宋体" w:hAnsi="宋体" w:cs="宋体"/>
                <w:sz w:val="24"/>
                <w:szCs w:val="24"/>
              </w:rPr>
              <w:t>会场内部布局（0-</w:t>
            </w:r>
            <w:r>
              <w:rPr>
                <w:rFonts w:hint="eastAsia" w:ascii="宋体" w:hAnsi="宋体" w:cs="宋体"/>
                <w:sz w:val="24"/>
                <w:szCs w:val="24"/>
                <w:lang w:val="en-US" w:eastAsia="zh-CN"/>
              </w:rPr>
              <w:t>5</w:t>
            </w:r>
            <w:r>
              <w:rPr>
                <w:rFonts w:hint="eastAsia" w:ascii="宋体" w:hAnsi="宋体" w:cs="宋体"/>
                <w:sz w:val="24"/>
                <w:szCs w:val="24"/>
              </w:rPr>
              <w:t>分）</w:t>
            </w:r>
          </w:p>
          <w:p w14:paraId="7897D09C">
            <w:pPr>
              <w:snapToGrid w:val="0"/>
              <w:spacing w:line="480" w:lineRule="exact"/>
              <w:ind w:firstLine="480" w:firstLineChars="200"/>
              <w:outlineLvl w:val="2"/>
              <w:rPr>
                <w:rFonts w:hint="eastAsia" w:ascii="宋体" w:hAnsi="宋体" w:cs="宋体" w:eastAsiaTheme="minorEastAsia"/>
                <w:sz w:val="24"/>
                <w:szCs w:val="24"/>
                <w:lang w:eastAsia="zh-CN"/>
              </w:rPr>
            </w:pPr>
            <w:r>
              <w:rPr>
                <w:rFonts w:hint="eastAsia" w:ascii="宋体" w:hAnsi="宋体" w:cs="宋体"/>
                <w:sz w:val="24"/>
                <w:szCs w:val="24"/>
              </w:rPr>
              <w:t>会场设计布置、大厅光荣榜及主题画面形式理念阐述新颖的</w:t>
            </w:r>
            <w:r>
              <w:rPr>
                <w:rFonts w:hint="eastAsia" w:ascii="宋体" w:hAnsi="宋体" w:cs="宋体"/>
                <w:sz w:val="24"/>
                <w:szCs w:val="24"/>
                <w:lang w:val="en-US" w:eastAsia="zh-CN"/>
              </w:rPr>
              <w:t>4-5</w:t>
            </w:r>
            <w:r>
              <w:rPr>
                <w:rFonts w:hint="eastAsia" w:ascii="宋体" w:hAnsi="宋体" w:cs="宋体"/>
                <w:sz w:val="24"/>
                <w:szCs w:val="24"/>
              </w:rPr>
              <w:t>分，会场设计布置基本符合的要求</w:t>
            </w:r>
            <w:r>
              <w:rPr>
                <w:rFonts w:hint="eastAsia" w:ascii="宋体" w:hAnsi="宋体" w:cs="宋体"/>
                <w:sz w:val="24"/>
                <w:szCs w:val="24"/>
                <w:lang w:val="en-US" w:eastAsia="zh-CN"/>
              </w:rPr>
              <w:t>2-3</w:t>
            </w:r>
            <w:r>
              <w:rPr>
                <w:rFonts w:hint="eastAsia" w:ascii="宋体" w:hAnsi="宋体" w:cs="宋体"/>
                <w:sz w:val="24"/>
                <w:szCs w:val="24"/>
              </w:rPr>
              <w:t>分，会场设计布置一般的</w:t>
            </w:r>
            <w:r>
              <w:rPr>
                <w:rFonts w:hint="eastAsia" w:ascii="宋体" w:hAnsi="宋体" w:cs="宋体"/>
                <w:sz w:val="24"/>
                <w:szCs w:val="24"/>
                <w:lang w:val="en-US" w:eastAsia="zh-CN"/>
              </w:rPr>
              <w:t>0-1</w:t>
            </w:r>
            <w:r>
              <w:rPr>
                <w:rFonts w:hint="eastAsia" w:ascii="宋体" w:hAnsi="宋体" w:cs="宋体"/>
                <w:sz w:val="24"/>
                <w:szCs w:val="24"/>
              </w:rPr>
              <w:t>分，</w:t>
            </w:r>
            <w:r>
              <w:rPr>
                <w:rFonts w:hint="eastAsia" w:ascii="宋体" w:hAnsi="宋体" w:cs="宋体"/>
                <w:sz w:val="24"/>
                <w:szCs w:val="24"/>
                <w:lang w:eastAsia="zh-CN"/>
              </w:rPr>
              <w:t>未提供不得分。</w:t>
            </w:r>
          </w:p>
          <w:p w14:paraId="7707520B">
            <w:pPr>
              <w:snapToGrid w:val="0"/>
              <w:spacing w:line="480" w:lineRule="exact"/>
              <w:outlineLvl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 2 \* GB3 \* MERGEFORMAT </w:instrText>
            </w:r>
            <w:r>
              <w:rPr>
                <w:rFonts w:hint="eastAsia" w:ascii="宋体" w:hAnsi="宋体" w:cs="宋体"/>
                <w:sz w:val="24"/>
                <w:szCs w:val="24"/>
              </w:rPr>
              <w:fldChar w:fldCharType="separate"/>
            </w:r>
            <w:r>
              <w:t>②</w:t>
            </w:r>
            <w:r>
              <w:rPr>
                <w:rFonts w:hint="eastAsia" w:ascii="宋体" w:hAnsi="宋体" w:cs="宋体"/>
                <w:sz w:val="24"/>
                <w:szCs w:val="24"/>
              </w:rPr>
              <w:fldChar w:fldCharType="end"/>
            </w:r>
            <w:r>
              <w:rPr>
                <w:rFonts w:hint="eastAsia" w:ascii="宋体" w:hAnsi="宋体" w:cs="宋体"/>
                <w:sz w:val="24"/>
                <w:szCs w:val="24"/>
              </w:rPr>
              <w:t>效果图（0-</w:t>
            </w:r>
            <w:r>
              <w:rPr>
                <w:rFonts w:hint="eastAsia" w:ascii="宋体" w:hAnsi="宋体" w:cs="宋体"/>
                <w:sz w:val="24"/>
                <w:szCs w:val="24"/>
                <w:lang w:val="en-US" w:eastAsia="zh-CN"/>
              </w:rPr>
              <w:t>5</w:t>
            </w:r>
            <w:r>
              <w:rPr>
                <w:rFonts w:hint="eastAsia" w:ascii="宋体" w:hAnsi="宋体" w:cs="宋体"/>
                <w:sz w:val="24"/>
                <w:szCs w:val="24"/>
              </w:rPr>
              <w:t>分）</w:t>
            </w:r>
          </w:p>
          <w:p w14:paraId="605194A0">
            <w:pPr>
              <w:snapToGrid w:val="0"/>
              <w:spacing w:line="480" w:lineRule="exact"/>
              <w:ind w:firstLine="484" w:firstLineChars="202"/>
              <w:outlineLvl w:val="2"/>
              <w:rPr>
                <w:rFonts w:hint="eastAsia" w:ascii="宋体" w:hAnsi="宋体" w:cs="宋体" w:eastAsiaTheme="minorEastAsia"/>
                <w:sz w:val="24"/>
                <w:szCs w:val="24"/>
                <w:lang w:eastAsia="zh-CN"/>
              </w:rPr>
            </w:pPr>
            <w:r>
              <w:rPr>
                <w:rFonts w:hint="eastAsia" w:ascii="宋体" w:hAnsi="宋体" w:cs="宋体"/>
                <w:sz w:val="24"/>
                <w:szCs w:val="24"/>
              </w:rPr>
              <w:t>整体会场效果图美观效果好</w:t>
            </w:r>
            <w:r>
              <w:rPr>
                <w:rFonts w:hint="eastAsia" w:ascii="宋体" w:hAnsi="宋体" w:cs="宋体"/>
                <w:sz w:val="24"/>
                <w:szCs w:val="24"/>
                <w:lang w:val="en-US" w:eastAsia="zh-CN"/>
              </w:rPr>
              <w:t>4-5</w:t>
            </w:r>
            <w:r>
              <w:rPr>
                <w:rFonts w:hint="eastAsia" w:ascii="宋体" w:hAnsi="宋体" w:cs="宋体"/>
                <w:sz w:val="24"/>
                <w:szCs w:val="24"/>
              </w:rPr>
              <w:t>分，效果图一般</w:t>
            </w:r>
            <w:r>
              <w:rPr>
                <w:rFonts w:hint="eastAsia" w:ascii="宋体" w:hAnsi="宋体" w:cs="宋体"/>
                <w:sz w:val="24"/>
                <w:szCs w:val="24"/>
                <w:lang w:val="en-US" w:eastAsia="zh-CN"/>
              </w:rPr>
              <w:t>2-3</w:t>
            </w:r>
            <w:r>
              <w:rPr>
                <w:rFonts w:hint="eastAsia" w:ascii="宋体" w:hAnsi="宋体" w:cs="宋体"/>
                <w:sz w:val="24"/>
                <w:szCs w:val="24"/>
              </w:rPr>
              <w:t>分，效果图较差的</w:t>
            </w:r>
            <w:r>
              <w:rPr>
                <w:rFonts w:hint="eastAsia" w:ascii="宋体" w:hAnsi="宋体" w:cs="宋体"/>
                <w:sz w:val="24"/>
                <w:szCs w:val="24"/>
                <w:lang w:val="en-US" w:eastAsia="zh-CN"/>
              </w:rPr>
              <w:t>0-1</w:t>
            </w:r>
            <w:r>
              <w:rPr>
                <w:rFonts w:hint="eastAsia" w:ascii="宋体" w:hAnsi="宋体" w:cs="宋体"/>
                <w:sz w:val="24"/>
                <w:szCs w:val="24"/>
              </w:rPr>
              <w:t>分</w:t>
            </w:r>
            <w:r>
              <w:rPr>
                <w:rFonts w:hint="eastAsia" w:ascii="宋体" w:hAnsi="宋体" w:cs="宋体"/>
                <w:sz w:val="24"/>
                <w:szCs w:val="24"/>
                <w:lang w:eastAsia="zh-CN"/>
              </w:rPr>
              <w:t>，未提供不得分。</w:t>
            </w:r>
          </w:p>
          <w:p w14:paraId="4AB0F848">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（3）平面设计方案及</w:t>
            </w:r>
            <w:r>
              <w:rPr>
                <w:rFonts w:hint="eastAsia" w:ascii="宋体" w:hAnsi="宋体" w:cs="宋体"/>
                <w:sz w:val="24"/>
                <w:szCs w:val="24"/>
                <w:lang w:eastAsia="zh-CN"/>
              </w:rPr>
              <w:t>布展</w:t>
            </w:r>
            <w:r>
              <w:rPr>
                <w:rFonts w:hint="eastAsia" w:ascii="宋体" w:hAnsi="宋体" w:cs="宋体"/>
                <w:sz w:val="24"/>
                <w:szCs w:val="24"/>
              </w:rPr>
              <w:t>流程演示，内容全面符合</w:t>
            </w:r>
            <w:r>
              <w:rPr>
                <w:rFonts w:hint="eastAsia" w:ascii="宋体" w:hAnsi="宋体" w:cs="宋体"/>
                <w:sz w:val="24"/>
                <w:szCs w:val="24"/>
                <w:lang w:eastAsia="zh-CN"/>
              </w:rPr>
              <w:t>布展</w:t>
            </w:r>
            <w:r>
              <w:rPr>
                <w:rFonts w:hint="eastAsia" w:ascii="宋体" w:hAnsi="宋体" w:cs="宋体"/>
                <w:sz w:val="24"/>
                <w:szCs w:val="24"/>
              </w:rPr>
              <w:t>要求，分值10分；</w:t>
            </w:r>
          </w:p>
          <w:p w14:paraId="75B457F3">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平面设计方案（0-10分）</w:t>
            </w:r>
          </w:p>
          <w:p w14:paraId="0C75E598">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设计新颖有创意7-10分，设计一般4-6分，设计较差0</w:t>
            </w:r>
            <w:r>
              <w:rPr>
                <w:rFonts w:ascii="宋体" w:hAnsi="宋体" w:cs="宋体"/>
                <w:sz w:val="24"/>
                <w:szCs w:val="24"/>
              </w:rPr>
              <w:t>-</w:t>
            </w:r>
            <w:r>
              <w:rPr>
                <w:rFonts w:hint="eastAsia" w:ascii="宋体" w:hAnsi="宋体" w:cs="宋体"/>
                <w:sz w:val="24"/>
                <w:szCs w:val="24"/>
              </w:rPr>
              <w:t>3分；</w:t>
            </w:r>
          </w:p>
          <w:p w14:paraId="45BB1307">
            <w:p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）专题阐述施工工期安排及其它必须说明的事项，现场服务承诺的安排及保障措施，之前同等</w:t>
            </w:r>
            <w:r>
              <w:rPr>
                <w:rFonts w:hint="eastAsia" w:ascii="宋体" w:hAnsi="宋体" w:cs="宋体"/>
                <w:sz w:val="24"/>
                <w:szCs w:val="24"/>
                <w:lang w:eastAsia="zh-CN"/>
              </w:rPr>
              <w:t>布展</w:t>
            </w:r>
            <w:r>
              <w:rPr>
                <w:rFonts w:hint="eastAsia" w:ascii="宋体" w:hAnsi="宋体" w:cs="宋体"/>
                <w:sz w:val="24"/>
                <w:szCs w:val="24"/>
              </w:rPr>
              <w:t>案例经验等，分值</w:t>
            </w:r>
            <w:r>
              <w:rPr>
                <w:rFonts w:hint="eastAsia" w:ascii="宋体" w:hAnsi="宋体" w:cs="宋体"/>
                <w:sz w:val="24"/>
                <w:szCs w:val="24"/>
                <w:lang w:val="en-US" w:eastAsia="zh-CN"/>
              </w:rPr>
              <w:t>10</w:t>
            </w:r>
            <w:r>
              <w:rPr>
                <w:rFonts w:hint="eastAsia" w:ascii="宋体" w:hAnsi="宋体" w:cs="宋体"/>
                <w:sz w:val="24"/>
                <w:szCs w:val="24"/>
              </w:rPr>
              <w:t>分；</w:t>
            </w:r>
          </w:p>
          <w:p w14:paraId="475AC1B6">
            <w:pPr>
              <w:snapToGrid w:val="0"/>
              <w:spacing w:line="480" w:lineRule="exact"/>
              <w:outlineLvl w:val="2"/>
              <w:rPr>
                <w:rFonts w:asciiTheme="minorEastAsia" w:hAnsiTheme="minorEastAsia"/>
                <w:color w:val="000000" w:themeColor="text1"/>
                <w:sz w:val="24"/>
                <w:szCs w:val="24"/>
                <w14:textFill>
                  <w14:solidFill>
                    <w14:schemeClr w14:val="tx1"/>
                  </w14:solidFill>
                </w14:textFill>
              </w:rPr>
            </w:pPr>
            <w:r>
              <w:rPr>
                <w:rFonts w:hint="eastAsia" w:ascii="宋体" w:hAnsi="宋体" w:cs="宋体"/>
                <w:sz w:val="24"/>
                <w:szCs w:val="24"/>
              </w:rPr>
              <w:t xml:space="preserve">    保证制作效果措施、施工工期安排计划表详细合理，对现场服务所采取的保证措施切实可行，条理清楚，对未提及但是可能会发生事情单独阐述。（</w:t>
            </w:r>
            <w:r>
              <w:rPr>
                <w:rFonts w:hint="eastAsia" w:ascii="宋体" w:hAnsi="宋体" w:cs="宋体"/>
                <w:sz w:val="24"/>
                <w:szCs w:val="24"/>
                <w:lang w:val="en-US" w:eastAsia="zh-CN"/>
              </w:rPr>
              <w:t>0-10</w:t>
            </w:r>
            <w:r>
              <w:rPr>
                <w:rFonts w:hint="eastAsia" w:ascii="宋体" w:hAnsi="宋体" w:cs="宋体"/>
                <w:sz w:val="24"/>
                <w:szCs w:val="24"/>
              </w:rPr>
              <w:t>分）</w:t>
            </w:r>
          </w:p>
        </w:tc>
      </w:tr>
      <w:bookmarkEnd w:id="3"/>
    </w:tbl>
    <w:p w14:paraId="7C1CAD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hAnsiTheme="minorEastAsia"/>
          <w:color w:val="000000" w:themeColor="text1"/>
          <w:sz w:val="24"/>
          <w:szCs w:val="24"/>
          <w14:textFill>
            <w14:solidFill>
              <w14:schemeClr w14:val="tx1"/>
            </w14:solidFill>
          </w14:textFill>
        </w:rPr>
      </w:pPr>
    </w:p>
    <w:p w14:paraId="7F49900D">
      <w:pPr>
        <w:spacing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注：1、以上</w:t>
      </w:r>
      <w:r>
        <w:rPr>
          <w:rFonts w:hint="eastAsia" w:asciiTheme="minorEastAsia" w:hAnsiTheme="minorEastAsia"/>
          <w:b/>
          <w:color w:val="000000" w:themeColor="text1"/>
          <w:sz w:val="24"/>
          <w:szCs w:val="24"/>
          <w14:textFill>
            <w14:solidFill>
              <w14:schemeClr w14:val="tx1"/>
            </w14:solidFill>
          </w14:textFill>
        </w:rPr>
        <w:t>技术标</w:t>
      </w:r>
      <w:r>
        <w:rPr>
          <w:rFonts w:hint="eastAsia" w:asciiTheme="minorEastAsia" w:hAnsiTheme="minorEastAsia"/>
          <w:b/>
          <w:bCs/>
          <w:color w:val="000000" w:themeColor="text1"/>
          <w:sz w:val="24"/>
          <w:szCs w:val="24"/>
          <w14:textFill>
            <w14:solidFill>
              <w14:schemeClr w14:val="tx1"/>
            </w14:solidFill>
          </w14:textFill>
        </w:rPr>
        <w:t>涉及的证书、证明材料、合同等相关原件备查。</w:t>
      </w:r>
      <w:r>
        <w:rPr>
          <w:rFonts w:hint="eastAsia" w:asciiTheme="minorEastAsia" w:hAnsiTheme="minorEastAsia"/>
          <w:b/>
          <w:color w:val="000000" w:themeColor="text1"/>
          <w:sz w:val="24"/>
          <w:szCs w:val="24"/>
          <w14:textFill>
            <w14:solidFill>
              <w14:schemeClr w14:val="tx1"/>
            </w14:solidFill>
          </w14:textFill>
        </w:rPr>
        <w:t>因投标人自身原因，在评标工作期间，不能及时、完整、有效提供相关原件以供评委会查询，由此导致不利于投标文件的评审后果由投标人承担。</w:t>
      </w:r>
    </w:p>
    <w:p w14:paraId="12696FDF">
      <w:pPr>
        <w:snapToGrid w:val="0"/>
        <w:spacing w:line="360" w:lineRule="auto"/>
        <w:ind w:firstLine="964" w:firstLineChars="4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2、当磋商小组成员为5人（含5人）以上的，商务技术分是在去掉一个最高分和一个最低分后均算而成，当磋商小组成员少于5人时，技术分按算术平均值计算，分值四舍五入保留两位小数。</w:t>
      </w:r>
    </w:p>
    <w:p w14:paraId="170AFF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firstLineChars="3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本办法未尽事宜，由评委会依据有关法规研究解决。</w:t>
      </w:r>
    </w:p>
    <w:p w14:paraId="4F99165D">
      <w:pPr>
        <w:pStyle w:val="15"/>
        <w:tabs>
          <w:tab w:val="left" w:pos="720"/>
          <w:tab w:val="clear" w:pos="916"/>
        </w:tabs>
        <w:spacing w:line="360" w:lineRule="auto"/>
        <w:rPr>
          <w:rFonts w:asciiTheme="minorEastAsia" w:hAnsiTheme="minorEastAsia"/>
          <w:color w:val="000000" w:themeColor="text1"/>
          <w:kern w:val="2"/>
          <w:szCs w:val="24"/>
          <w14:textFill>
            <w14:solidFill>
              <w14:schemeClr w14:val="tx1"/>
            </w14:solidFill>
          </w14:textFill>
        </w:rPr>
      </w:pPr>
      <w:r>
        <w:rPr>
          <w:rFonts w:hint="eastAsia" w:asciiTheme="minorEastAsia" w:hAnsiTheme="minorEastAsia"/>
          <w:color w:val="000000" w:themeColor="text1"/>
          <w:kern w:val="2"/>
          <w:szCs w:val="24"/>
          <w14:textFill>
            <w14:solidFill>
              <w14:schemeClr w14:val="tx1"/>
            </w14:solidFill>
          </w14:textFill>
        </w:rPr>
        <w:t xml:space="preserve">（四） 总得分 =价格分 + 技术分 </w:t>
      </w:r>
    </w:p>
    <w:p w14:paraId="4517157E">
      <w:pPr>
        <w:pStyle w:val="15"/>
        <w:tabs>
          <w:tab w:val="left" w:pos="720"/>
          <w:tab w:val="clear" w:pos="916"/>
        </w:tabs>
        <w:spacing w:line="400" w:lineRule="exac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kern w:val="2"/>
          <w:szCs w:val="24"/>
          <w14:textFill>
            <w14:solidFill>
              <w14:schemeClr w14:val="tx1"/>
            </w14:solidFill>
          </w14:textFill>
        </w:rPr>
        <w:t>（五） 中标标准：评标结果按评审后总得分由高到低顺序排列。总得分相同的，按投标报价由低到高顺序排列。总得分且投标报价相同的并列。投标文件满足招标文件全部实质性要求，且按照评审因素的量化指标评审得分最高的投标人为排名第一的中标候选人。</w:t>
      </w:r>
    </w:p>
    <w:p w14:paraId="0FDF4BE0">
      <w:pPr>
        <w:pStyle w:val="15"/>
        <w:tabs>
          <w:tab w:val="left" w:pos="720"/>
          <w:tab w:val="clear" w:pos="916"/>
        </w:tabs>
        <w:spacing w:line="400" w:lineRule="exact"/>
        <w:rPr>
          <w:rFonts w:asciiTheme="minorEastAsia" w:hAnsiTheme="minorEastAsia"/>
          <w:color w:val="000000" w:themeColor="text1"/>
          <w:szCs w:val="24"/>
          <w14:textFill>
            <w14:solidFill>
              <w14:schemeClr w14:val="tx1"/>
            </w14:solidFill>
          </w14:textFill>
        </w:rPr>
      </w:pPr>
    </w:p>
    <w:p w14:paraId="3CBE62B1">
      <w:pPr>
        <w:pStyle w:val="28"/>
        <w:snapToGrid w:val="0"/>
        <w:spacing w:line="300" w:lineRule="auto"/>
        <w:ind w:firstLine="0" w:firstLineChars="0"/>
        <w:contextualSpacing/>
        <w:rPr>
          <w:rFonts w:asciiTheme="minorEastAsia" w:hAnsiTheme="minorEastAsia" w:eastAsiaTheme="minorEastAsia"/>
          <w:color w:val="000000" w:themeColor="text1"/>
          <w:sz w:val="24"/>
          <w:szCs w:val="24"/>
          <w14:textFill>
            <w14:solidFill>
              <w14:schemeClr w14:val="tx1"/>
            </w14:solidFill>
          </w14:textFill>
        </w:rPr>
      </w:pPr>
    </w:p>
    <w:p w14:paraId="2E33DFA3">
      <w:pPr>
        <w:pStyle w:val="28"/>
        <w:snapToGrid w:val="0"/>
        <w:spacing w:line="300" w:lineRule="auto"/>
        <w:ind w:firstLine="0" w:firstLineChars="0"/>
        <w:contextualSpacing/>
        <w:rPr>
          <w:rFonts w:asciiTheme="minorEastAsia" w:hAnsiTheme="minorEastAsia" w:eastAsiaTheme="minorEastAsia"/>
          <w:color w:val="000000" w:themeColor="text1"/>
          <w:sz w:val="24"/>
          <w:szCs w:val="24"/>
          <w14:textFill>
            <w14:solidFill>
              <w14:schemeClr w14:val="tx1"/>
            </w14:solidFill>
          </w14:textFill>
        </w:rPr>
      </w:pPr>
    </w:p>
    <w:p w14:paraId="6B625592">
      <w:pPr>
        <w:pStyle w:val="28"/>
        <w:snapToGrid w:val="0"/>
        <w:spacing w:line="300" w:lineRule="auto"/>
        <w:ind w:firstLine="0" w:firstLineChars="0"/>
        <w:contextualSpacing/>
        <w:rPr>
          <w:rFonts w:asciiTheme="minorEastAsia" w:hAnsiTheme="minorEastAsia" w:eastAsiaTheme="minorEastAsia"/>
          <w:color w:val="000000" w:themeColor="text1"/>
          <w:sz w:val="24"/>
          <w:szCs w:val="24"/>
          <w14:textFill>
            <w14:solidFill>
              <w14:schemeClr w14:val="tx1"/>
            </w14:solidFill>
          </w14:textFill>
        </w:rPr>
      </w:pPr>
    </w:p>
    <w:p w14:paraId="0BD32F92">
      <w:pPr>
        <w:pStyle w:val="28"/>
        <w:snapToGrid w:val="0"/>
        <w:spacing w:line="300" w:lineRule="auto"/>
        <w:ind w:firstLine="0" w:firstLineChars="0"/>
        <w:contextualSpacing/>
        <w:rPr>
          <w:rFonts w:asciiTheme="minorEastAsia" w:hAnsiTheme="minorEastAsia" w:eastAsiaTheme="minorEastAsia"/>
          <w:color w:val="000000" w:themeColor="text1"/>
          <w:sz w:val="24"/>
          <w14:textFill>
            <w14:solidFill>
              <w14:schemeClr w14:val="tx1"/>
            </w14:solidFill>
          </w14:textFill>
        </w:rPr>
      </w:pPr>
    </w:p>
    <w:p w14:paraId="43A11712">
      <w:pPr>
        <w:pStyle w:val="28"/>
        <w:snapToGrid w:val="0"/>
        <w:spacing w:line="300" w:lineRule="auto"/>
        <w:ind w:firstLine="0" w:firstLineChars="0"/>
        <w:contextualSpacing/>
        <w:rPr>
          <w:rFonts w:asciiTheme="minorEastAsia" w:hAnsiTheme="minorEastAsia" w:eastAsiaTheme="minorEastAsia"/>
          <w:color w:val="000000" w:themeColor="text1"/>
          <w:sz w:val="24"/>
          <w14:textFill>
            <w14:solidFill>
              <w14:schemeClr w14:val="tx1"/>
            </w14:solidFill>
          </w14:textFill>
        </w:rPr>
      </w:pPr>
    </w:p>
    <w:p w14:paraId="19231BDE">
      <w:pPr>
        <w:pStyle w:val="28"/>
        <w:snapToGrid w:val="0"/>
        <w:spacing w:line="300" w:lineRule="auto"/>
        <w:ind w:firstLine="0" w:firstLineChars="0"/>
        <w:contextualSpacing/>
        <w:rPr>
          <w:rFonts w:asciiTheme="minorEastAsia" w:hAnsiTheme="minorEastAsia" w:eastAsiaTheme="minorEastAsia"/>
          <w:color w:val="000000" w:themeColor="text1"/>
          <w:sz w:val="24"/>
          <w14:textFill>
            <w14:solidFill>
              <w14:schemeClr w14:val="tx1"/>
            </w14:solidFill>
          </w14:textFill>
        </w:rPr>
      </w:pPr>
    </w:p>
    <w:p w14:paraId="6D8F3E88">
      <w:pPr>
        <w:pStyle w:val="28"/>
        <w:snapToGrid w:val="0"/>
        <w:spacing w:line="300" w:lineRule="auto"/>
        <w:ind w:firstLine="0" w:firstLineChars="0"/>
        <w:contextualSpacing/>
        <w:rPr>
          <w:rFonts w:asciiTheme="minorEastAsia" w:hAnsiTheme="minorEastAsia" w:eastAsiaTheme="minorEastAsia"/>
          <w:color w:val="000000" w:themeColor="text1"/>
          <w:sz w:val="24"/>
          <w14:textFill>
            <w14:solidFill>
              <w14:schemeClr w14:val="tx1"/>
            </w14:solidFill>
          </w14:textFill>
        </w:rPr>
      </w:pPr>
    </w:p>
    <w:p w14:paraId="12C169DC">
      <w:pPr>
        <w:pStyle w:val="28"/>
        <w:snapToGrid w:val="0"/>
        <w:spacing w:line="300" w:lineRule="auto"/>
        <w:ind w:firstLine="0" w:firstLineChars="0"/>
        <w:contextualSpacing/>
        <w:rPr>
          <w:rFonts w:asciiTheme="minorEastAsia" w:hAnsiTheme="minorEastAsia" w:eastAsiaTheme="minorEastAsia"/>
          <w:color w:val="000000" w:themeColor="text1"/>
          <w:sz w:val="24"/>
          <w14:textFill>
            <w14:solidFill>
              <w14:schemeClr w14:val="tx1"/>
            </w14:solidFill>
          </w14:textFill>
        </w:rPr>
      </w:pPr>
    </w:p>
    <w:p w14:paraId="400F0E38">
      <w:pPr>
        <w:pStyle w:val="9"/>
        <w:jc w:val="center"/>
        <w:outlineLvl w:val="0"/>
        <w:rPr>
          <w:rFonts w:asciiTheme="minorEastAsia" w:hAnsiTheme="minorEastAsia"/>
          <w:b/>
          <w:color w:val="000000" w:themeColor="text1"/>
          <w:sz w:val="36"/>
          <w14:textFill>
            <w14:solidFill>
              <w14:schemeClr w14:val="tx1"/>
            </w14:solidFill>
          </w14:textFill>
        </w:rPr>
      </w:pPr>
      <w:r>
        <w:rPr>
          <w:rFonts w:hint="eastAsia" w:asciiTheme="minorEastAsia" w:hAnsiTheme="minorEastAsia"/>
          <w:b/>
          <w:color w:val="000000" w:themeColor="text1"/>
          <w:sz w:val="36"/>
          <w14:textFill>
            <w14:solidFill>
              <w14:schemeClr w14:val="tx1"/>
            </w14:solidFill>
          </w14:textFill>
        </w:rPr>
        <w:t>第五章   合同主要条款表</w:t>
      </w:r>
    </w:p>
    <w:p w14:paraId="353ACDC9">
      <w:pPr>
        <w:pStyle w:val="9"/>
        <w:rPr>
          <w:rFonts w:asciiTheme="minorEastAsia" w:hAnsiTheme="minorEastAsia"/>
          <w:color w:val="000000" w:themeColor="text1"/>
          <w14:textFill>
            <w14:solidFill>
              <w14:schemeClr w14:val="tx1"/>
            </w14:solidFill>
          </w14:textFill>
        </w:rPr>
      </w:pPr>
    </w:p>
    <w:p w14:paraId="56BA8E6D">
      <w:pPr>
        <w:spacing w:line="360" w:lineRule="auto"/>
        <w:ind w:firstLine="562" w:firstLineChars="200"/>
        <w:rPr>
          <w:rFonts w:hint="eastAsia" w:ascii="宋体" w:hAnsi="宋体" w:cs="宋体"/>
          <w:b/>
          <w:sz w:val="28"/>
          <w:szCs w:val="28"/>
          <w:u w:val="single"/>
        </w:rPr>
      </w:pPr>
      <w:r>
        <w:rPr>
          <w:rFonts w:hint="eastAsia" w:ascii="宋体" w:hAnsi="宋体" w:cs="宋体"/>
          <w:b/>
          <w:sz w:val="28"/>
          <w:szCs w:val="28"/>
        </w:rPr>
        <w:t>委托方（以下简称甲方）：</w:t>
      </w:r>
      <w:r>
        <w:rPr>
          <w:rFonts w:hint="eastAsia" w:ascii="宋体" w:hAnsi="宋体" w:cs="宋体"/>
          <w:b/>
          <w:sz w:val="28"/>
          <w:szCs w:val="28"/>
          <w:u w:val="single"/>
        </w:rPr>
        <w:t xml:space="preserve">                             </w:t>
      </w:r>
    </w:p>
    <w:p w14:paraId="0118991D">
      <w:pPr>
        <w:spacing w:line="360" w:lineRule="auto"/>
        <w:ind w:firstLine="562" w:firstLineChars="200"/>
        <w:rPr>
          <w:rFonts w:hint="eastAsia" w:ascii="宋体" w:hAnsi="宋体" w:cs="宋体"/>
          <w:b/>
          <w:sz w:val="28"/>
          <w:szCs w:val="28"/>
        </w:rPr>
      </w:pPr>
      <w:r>
        <w:rPr>
          <w:rFonts w:hint="eastAsia" w:ascii="宋体" w:hAnsi="宋体" w:cs="宋体"/>
          <w:b/>
          <w:bCs/>
          <w:sz w:val="28"/>
          <w:szCs w:val="28"/>
        </w:rPr>
        <w:t>受托方（以下简称乙方）：</w:t>
      </w:r>
      <w:r>
        <w:rPr>
          <w:rFonts w:hint="eastAsia" w:ascii="宋体" w:hAnsi="宋体" w:cs="宋体"/>
          <w:b/>
          <w:sz w:val="28"/>
          <w:szCs w:val="28"/>
          <w:u w:val="single"/>
        </w:rPr>
        <w:t xml:space="preserve">                           </w:t>
      </w:r>
      <w:r>
        <w:rPr>
          <w:rFonts w:hint="eastAsia" w:ascii="宋体" w:hAnsi="宋体" w:cs="宋体"/>
          <w:sz w:val="28"/>
          <w:szCs w:val="28"/>
          <w:u w:val="single"/>
        </w:rPr>
        <w:t xml:space="preserve">  </w:t>
      </w:r>
    </w:p>
    <w:p w14:paraId="0CE328EB">
      <w:pPr>
        <w:spacing w:line="384" w:lineRule="auto"/>
        <w:ind w:firstLine="480" w:firstLineChars="200"/>
        <w:rPr>
          <w:rFonts w:hint="eastAsia" w:ascii="宋体" w:hAnsi="宋体" w:cs="宋体"/>
          <w:sz w:val="24"/>
          <w:szCs w:val="24"/>
        </w:rPr>
      </w:pPr>
      <w:r>
        <w:rPr>
          <w:rFonts w:hint="eastAsia" w:ascii="宋体" w:hAnsi="宋体" w:cs="宋体"/>
          <w:sz w:val="24"/>
          <w:szCs w:val="24"/>
        </w:rPr>
        <w:t>甲乙双方就甲方委托乙方为其</w:t>
      </w:r>
      <w:r>
        <w:rPr>
          <w:rFonts w:hint="eastAsia" w:ascii="宋体" w:hAnsi="宋体" w:cs="宋体"/>
          <w:sz w:val="24"/>
          <w:szCs w:val="24"/>
          <w:u w:val="single"/>
        </w:rPr>
        <w:t xml:space="preserve">                         </w:t>
      </w:r>
      <w:r>
        <w:rPr>
          <w:rFonts w:hint="eastAsia" w:ascii="宋体" w:hAnsi="宋体" w:cs="宋体"/>
          <w:sz w:val="24"/>
          <w:szCs w:val="24"/>
        </w:rPr>
        <w:t>提供布展施工服务事宜，依照国家有关法律法规和政策规定，经双方友好协商，达成如下合同，双方共同执行。</w:t>
      </w:r>
    </w:p>
    <w:p w14:paraId="3285277D">
      <w:pPr>
        <w:pStyle w:val="2"/>
        <w:spacing w:line="384" w:lineRule="auto"/>
        <w:ind w:firstLine="482" w:firstLineChars="200"/>
        <w:rPr>
          <w:rFonts w:hint="eastAsia" w:cs="宋体"/>
          <w:sz w:val="24"/>
          <w:szCs w:val="24"/>
        </w:rPr>
      </w:pPr>
      <w:bookmarkStart w:id="4" w:name="_Toc516238986"/>
      <w:r>
        <w:rPr>
          <w:rFonts w:hint="eastAsia" w:cs="宋体"/>
          <w:sz w:val="24"/>
          <w:szCs w:val="24"/>
        </w:rPr>
        <w:t>一.项目概况</w:t>
      </w:r>
      <w:bookmarkEnd w:id="4"/>
    </w:p>
    <w:p w14:paraId="646D0427">
      <w:pPr>
        <w:pStyle w:val="34"/>
        <w:spacing w:line="384" w:lineRule="auto"/>
        <w:ind w:left="560"/>
        <w:rPr>
          <w:rFonts w:hint="eastAsia" w:ascii="宋体" w:hAnsi="宋体" w:cs="宋体"/>
          <w:b/>
          <w:u w:val="single"/>
          <w:lang w:eastAsia="zh-CN"/>
        </w:rPr>
      </w:pPr>
      <w:r>
        <w:rPr>
          <w:rFonts w:hint="eastAsia" w:ascii="宋体" w:hAnsi="宋体" w:cs="宋体"/>
          <w:lang w:eastAsia="zh-CN"/>
        </w:rPr>
        <w:t>1.项目名称：</w:t>
      </w:r>
      <w:r>
        <w:rPr>
          <w:rFonts w:hint="eastAsia" w:ascii="宋体" w:hAnsi="宋体" w:cs="宋体"/>
          <w:b/>
          <w:bCs/>
          <w:u w:val="single"/>
          <w:lang w:eastAsia="zh-CN"/>
        </w:rPr>
        <w:t>南通市总工会</w:t>
      </w:r>
      <w:r>
        <w:rPr>
          <w:rFonts w:hint="eastAsia" w:ascii="宋体" w:hAnsi="宋体" w:cs="宋体"/>
          <w:b/>
          <w:bCs/>
          <w:u w:val="single"/>
          <w:lang w:val="en-US" w:eastAsia="zh-CN"/>
        </w:rPr>
        <w:t>党建阵地</w:t>
      </w:r>
      <w:r>
        <w:rPr>
          <w:rFonts w:hint="eastAsia" w:ascii="宋体" w:hAnsi="宋体" w:cs="宋体"/>
          <w:b/>
          <w:bCs/>
          <w:u w:val="single"/>
          <w:lang w:eastAsia="zh-CN"/>
        </w:rPr>
        <w:t>设计方案招标项目</w:t>
      </w:r>
    </w:p>
    <w:p w14:paraId="25B45057">
      <w:pPr>
        <w:pStyle w:val="34"/>
        <w:spacing w:line="384" w:lineRule="auto"/>
        <w:ind w:left="560"/>
        <w:rPr>
          <w:rFonts w:ascii="宋体" w:hAnsi="宋体" w:cs="宋体"/>
          <w:b/>
          <w:u w:val="single"/>
          <w:lang w:val="en-US" w:eastAsia="zh-CN"/>
        </w:rPr>
      </w:pPr>
      <w:r>
        <w:rPr>
          <w:rFonts w:hint="eastAsia" w:ascii="宋体" w:hAnsi="宋体" w:cs="宋体"/>
          <w:lang w:eastAsia="zh-CN"/>
        </w:rPr>
        <w:t>2.项目实施地点：启瑞广场</w:t>
      </w:r>
    </w:p>
    <w:p w14:paraId="018DD5AB">
      <w:pPr>
        <w:pStyle w:val="2"/>
        <w:spacing w:line="384" w:lineRule="auto"/>
        <w:ind w:firstLine="482" w:firstLineChars="200"/>
        <w:rPr>
          <w:rFonts w:hint="eastAsia" w:cs="宋体"/>
          <w:sz w:val="24"/>
          <w:szCs w:val="24"/>
          <w:lang w:eastAsia="zh-CN"/>
        </w:rPr>
      </w:pPr>
      <w:bookmarkStart w:id="5" w:name="_Toc516238987"/>
      <w:r>
        <w:rPr>
          <w:rFonts w:hint="eastAsia" w:cs="宋体"/>
          <w:sz w:val="24"/>
          <w:szCs w:val="24"/>
        </w:rPr>
        <w:t>二.项目</w:t>
      </w:r>
      <w:bookmarkEnd w:id="5"/>
      <w:r>
        <w:rPr>
          <w:rFonts w:hint="eastAsia" w:cs="宋体"/>
          <w:sz w:val="24"/>
          <w:szCs w:val="24"/>
          <w:lang w:eastAsia="zh-CN"/>
        </w:rPr>
        <w:t>范围</w:t>
      </w:r>
    </w:p>
    <w:p w14:paraId="0F38EFE2">
      <w:pPr>
        <w:spacing w:line="384" w:lineRule="auto"/>
        <w:ind w:firstLine="480" w:firstLineChars="200"/>
        <w:rPr>
          <w:rFonts w:hint="eastAsia" w:ascii="宋体" w:hAnsi="宋体" w:cs="宋体"/>
          <w:sz w:val="24"/>
          <w:szCs w:val="24"/>
        </w:rPr>
      </w:pPr>
      <w:r>
        <w:rPr>
          <w:rFonts w:hint="eastAsia" w:ascii="宋体" w:hAnsi="宋体" w:cs="宋体"/>
          <w:sz w:val="24"/>
          <w:szCs w:val="24"/>
        </w:rPr>
        <w:t xml:space="preserve">乙方将依据甲方的需求，并根据甲方业务的描述情况向甲方提供以下展厅承建、定制及施工服务： </w:t>
      </w:r>
      <w:bookmarkStart w:id="6" w:name="_Toc516238988"/>
    </w:p>
    <w:p w14:paraId="23EBA24B">
      <w:pPr>
        <w:pStyle w:val="2"/>
        <w:spacing w:line="384" w:lineRule="auto"/>
        <w:ind w:firstLine="482" w:firstLineChars="200"/>
        <w:rPr>
          <w:rFonts w:hint="eastAsia" w:cs="宋体"/>
          <w:sz w:val="24"/>
          <w:szCs w:val="24"/>
        </w:rPr>
      </w:pPr>
      <w:r>
        <w:rPr>
          <w:rFonts w:hint="eastAsia" w:cs="宋体"/>
          <w:sz w:val="24"/>
          <w:szCs w:val="24"/>
        </w:rPr>
        <w:t>施工建设全过程包括但不限于：①本项目范围内的所有室内装饰、智能化、陈列布展、消防、暖通末端改造等其他全部相关工程内容；②结合项目现场情况，展示手段多样，具有层次感，避免单调，在不突破工程投资总额的前提下，合理运用声、光、电等技术手段。③工程竣工验收备案、整体移交（含档案移交）；④工程保修期内的缺陷修复和保修工作等。</w:t>
      </w:r>
    </w:p>
    <w:p w14:paraId="36FD451D">
      <w:pPr>
        <w:pStyle w:val="2"/>
        <w:spacing w:line="384" w:lineRule="auto"/>
        <w:ind w:firstLine="482" w:firstLineChars="200"/>
        <w:rPr>
          <w:rFonts w:hint="eastAsia" w:cs="宋体"/>
          <w:sz w:val="24"/>
          <w:szCs w:val="24"/>
        </w:rPr>
      </w:pPr>
      <w:r>
        <w:rPr>
          <w:rFonts w:hint="eastAsia" w:cs="宋体"/>
          <w:sz w:val="24"/>
          <w:szCs w:val="24"/>
        </w:rPr>
        <w:t>注：以上招标范围内的工作内容均包含在项目报价中。完成本项目内所有施工、调试、预验收和竣工验收、结算、维护保修以及处理与本项目相关的保护性拆除等相关配套工程。</w:t>
      </w:r>
    </w:p>
    <w:p w14:paraId="568D54C7">
      <w:pPr>
        <w:pStyle w:val="2"/>
        <w:spacing w:line="384" w:lineRule="auto"/>
        <w:ind w:firstLine="482" w:firstLineChars="200"/>
        <w:rPr>
          <w:rFonts w:hint="eastAsia" w:cs="宋体"/>
          <w:sz w:val="24"/>
          <w:szCs w:val="24"/>
        </w:rPr>
      </w:pPr>
      <w:r>
        <w:rPr>
          <w:rFonts w:hint="eastAsia" w:cs="宋体"/>
          <w:sz w:val="24"/>
          <w:szCs w:val="24"/>
        </w:rPr>
        <w:t>三.项目服务工期及事项</w:t>
      </w:r>
      <w:bookmarkEnd w:id="6"/>
    </w:p>
    <w:p w14:paraId="4CEDDEC0">
      <w:pPr>
        <w:pStyle w:val="35"/>
        <w:numPr>
          <w:ilvl w:val="0"/>
          <w:numId w:val="2"/>
        </w:numPr>
        <w:spacing w:line="384" w:lineRule="auto"/>
        <w:ind w:firstLineChars="0"/>
        <w:jc w:val="left"/>
        <w:rPr>
          <w:rFonts w:hint="eastAsia" w:ascii="宋体" w:hAnsi="宋体" w:eastAsia="宋体" w:cs="宋体"/>
          <w:sz w:val="24"/>
          <w:szCs w:val="24"/>
        </w:rPr>
      </w:pPr>
      <w:r>
        <w:rPr>
          <w:rFonts w:hint="eastAsia" w:ascii="宋体" w:hAnsi="宋体" w:eastAsia="宋体" w:cs="宋体"/>
          <w:sz w:val="24"/>
          <w:szCs w:val="24"/>
        </w:rPr>
        <w:t>施工周期</w:t>
      </w:r>
      <w:r>
        <w:rPr>
          <w:rFonts w:hint="eastAsia" w:ascii="宋体" w:hAnsi="宋体" w:eastAsia="宋体" w:cs="宋体"/>
          <w:sz w:val="24"/>
          <w:szCs w:val="24"/>
          <w:highlight w:val="none"/>
          <w:lang w:val="en-US" w:eastAsia="zh-CN"/>
        </w:rPr>
        <w:t>20日</w:t>
      </w:r>
      <w:r>
        <w:rPr>
          <w:rFonts w:hint="eastAsia" w:ascii="宋体" w:hAnsi="宋体" w:eastAsia="宋体" w:cs="宋体"/>
          <w:sz w:val="24"/>
          <w:szCs w:val="24"/>
          <w:lang w:val="zh-CN"/>
        </w:rPr>
        <w:t>历天</w:t>
      </w:r>
      <w:r>
        <w:rPr>
          <w:rFonts w:hint="eastAsia" w:ascii="宋体" w:hAnsi="宋体" w:eastAsia="宋体" w:cs="宋体"/>
          <w:sz w:val="24"/>
          <w:szCs w:val="24"/>
        </w:rPr>
        <w:t>，完工并交付使用。乙方应严格按照甲方约定的工期期限，并确保交付甲方验收合格。</w:t>
      </w:r>
    </w:p>
    <w:p w14:paraId="4B58C13A">
      <w:pPr>
        <w:pStyle w:val="34"/>
        <w:numPr>
          <w:ilvl w:val="0"/>
          <w:numId w:val="2"/>
        </w:numPr>
        <w:spacing w:line="384" w:lineRule="auto"/>
        <w:rPr>
          <w:rFonts w:hint="eastAsia" w:ascii="宋体" w:hAnsi="宋体" w:cs="宋体"/>
          <w:lang w:eastAsia="zh-CN"/>
        </w:rPr>
      </w:pPr>
      <w:r>
        <w:rPr>
          <w:rFonts w:hint="eastAsia" w:ascii="宋体" w:hAnsi="宋体" w:cs="宋体"/>
          <w:lang w:eastAsia="zh-CN"/>
        </w:rPr>
        <w:t>本项目采用包工、包料、包工期、包质量、包验收通过、包安全、包文明施工和综合治理的承包方式进行。乙方须按本合同限额设计要求对在确保本工程质量和工期的前提下优化控制投资。本项目由乙方采购材料设备的，应按照甲乙双方确认的材料清单、设计说明、设计图纸和有关技术资料标准要求进行采购，提供材料设备产品的质量、环保合格证明，并对所购材料设备质量负责。</w:t>
      </w:r>
    </w:p>
    <w:p w14:paraId="306A6DED">
      <w:pPr>
        <w:pStyle w:val="34"/>
        <w:numPr>
          <w:ilvl w:val="0"/>
          <w:numId w:val="2"/>
        </w:numPr>
        <w:spacing w:line="384" w:lineRule="auto"/>
        <w:rPr>
          <w:rFonts w:hint="eastAsia" w:ascii="宋体" w:hAnsi="宋体" w:cs="宋体"/>
          <w:lang w:eastAsia="zh-CN"/>
        </w:rPr>
      </w:pPr>
      <w:r>
        <w:rPr>
          <w:rFonts w:hint="eastAsia" w:ascii="宋体" w:hAnsi="宋体" w:cs="宋体"/>
          <w:lang w:eastAsia="zh-CN"/>
        </w:rPr>
        <w:t>乙方采购的材料设备按约定到达指定地点后，双方应对材料、设备进行验收。</w:t>
      </w:r>
    </w:p>
    <w:p w14:paraId="118D5651">
      <w:pPr>
        <w:pStyle w:val="34"/>
        <w:numPr>
          <w:ilvl w:val="0"/>
          <w:numId w:val="2"/>
        </w:numPr>
        <w:spacing w:line="384" w:lineRule="auto"/>
        <w:rPr>
          <w:rFonts w:hint="eastAsia" w:ascii="宋体" w:hAnsi="宋体" w:cs="宋体"/>
          <w:lang w:eastAsia="zh-CN"/>
        </w:rPr>
      </w:pPr>
      <w:r>
        <w:rPr>
          <w:rFonts w:hint="eastAsia" w:ascii="宋体" w:hAnsi="宋体" w:cs="宋体"/>
          <w:lang w:eastAsia="zh-CN"/>
        </w:rPr>
        <w:t>本项目中的主要材料应由双方选定样品样本。由甲方确认合格后封存，作为材料供应和竣工验收的实物标准。</w:t>
      </w:r>
    </w:p>
    <w:p w14:paraId="40313524">
      <w:pPr>
        <w:pStyle w:val="34"/>
        <w:numPr>
          <w:ilvl w:val="0"/>
          <w:numId w:val="2"/>
        </w:numPr>
        <w:spacing w:line="384" w:lineRule="auto"/>
        <w:rPr>
          <w:rFonts w:hint="eastAsia" w:ascii="宋体" w:hAnsi="宋体" w:cs="宋体"/>
          <w:lang w:eastAsia="zh-CN"/>
        </w:rPr>
      </w:pPr>
      <w:r>
        <w:rPr>
          <w:rFonts w:hint="eastAsia" w:ascii="宋体" w:hAnsi="宋体" w:cs="宋体"/>
          <w:lang w:eastAsia="zh-CN"/>
        </w:rPr>
        <w:t xml:space="preserve">双方所确认的并由乙方提供的所有工程材料均应符合国家质检总局发布的《室内装饰装修有害物质限量标准》和满足甲方要求。  </w:t>
      </w:r>
    </w:p>
    <w:p w14:paraId="3CCFBD78">
      <w:pPr>
        <w:pStyle w:val="34"/>
        <w:numPr>
          <w:ilvl w:val="0"/>
          <w:numId w:val="2"/>
        </w:numPr>
        <w:spacing w:line="384" w:lineRule="auto"/>
        <w:rPr>
          <w:rFonts w:hint="eastAsia" w:ascii="宋体" w:hAnsi="宋体" w:cs="宋体"/>
          <w:lang w:eastAsia="zh-CN"/>
        </w:rPr>
      </w:pPr>
      <w:r>
        <w:rPr>
          <w:rFonts w:hint="eastAsia" w:ascii="宋体" w:hAnsi="宋体" w:cs="宋体"/>
          <w:lang w:eastAsia="zh-CN"/>
        </w:rPr>
        <w:t>乙方需指派一名项目总负责人全面负责工程施工、项目协调和人员管理；并负责项目验收、设备调试及项目验收后对甲方展厅管理人员的培训工作。</w:t>
      </w:r>
    </w:p>
    <w:p w14:paraId="46C594A7">
      <w:pPr>
        <w:pStyle w:val="2"/>
        <w:spacing w:line="384" w:lineRule="auto"/>
        <w:ind w:firstLine="482" w:firstLineChars="200"/>
        <w:rPr>
          <w:rFonts w:hint="eastAsia" w:cs="宋体"/>
          <w:sz w:val="24"/>
          <w:szCs w:val="24"/>
        </w:rPr>
      </w:pPr>
      <w:bookmarkStart w:id="7" w:name="_Toc516238989"/>
      <w:r>
        <w:rPr>
          <w:rFonts w:hint="eastAsia" w:cs="宋体"/>
          <w:sz w:val="24"/>
          <w:szCs w:val="24"/>
        </w:rPr>
        <w:t>四.合同价款的结算及付款方式</w:t>
      </w:r>
      <w:bookmarkEnd w:id="7"/>
    </w:p>
    <w:p w14:paraId="3BBD6511">
      <w:pPr>
        <w:pStyle w:val="34"/>
        <w:numPr>
          <w:ilvl w:val="0"/>
          <w:numId w:val="3"/>
        </w:numPr>
        <w:spacing w:line="384" w:lineRule="auto"/>
        <w:rPr>
          <w:rFonts w:hint="eastAsia" w:ascii="宋体" w:hAnsi="宋体" w:cs="宋体"/>
        </w:rPr>
      </w:pPr>
      <w:r>
        <w:rPr>
          <w:rFonts w:hint="eastAsia" w:ascii="宋体" w:hAnsi="宋体" w:cs="宋体"/>
        </w:rPr>
        <w:t>合同价款结算:</w:t>
      </w:r>
    </w:p>
    <w:p w14:paraId="5F22A278">
      <w:pPr>
        <w:spacing w:line="384" w:lineRule="auto"/>
        <w:ind w:firstLine="480" w:firstLineChars="200"/>
        <w:rPr>
          <w:rFonts w:hint="eastAsia" w:ascii="宋体" w:hAnsi="宋体" w:cs="宋体"/>
          <w:sz w:val="24"/>
          <w:szCs w:val="24"/>
        </w:rPr>
      </w:pPr>
      <w:r>
        <w:rPr>
          <w:rFonts w:hint="eastAsia" w:ascii="宋体" w:hAnsi="宋体" w:cs="宋体"/>
          <w:sz w:val="24"/>
          <w:szCs w:val="24"/>
        </w:rPr>
        <w:t>（1）本项目服务总费用暂定为人民币：￥</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）（含暂列金￥</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）以上费用包括但不限于展厅</w:t>
      </w:r>
      <w:r>
        <w:rPr>
          <w:rFonts w:hint="eastAsia" w:cs="Century"/>
          <w:sz w:val="24"/>
          <w:szCs w:val="24"/>
        </w:rPr>
        <w:t>二次深化设计费用</w:t>
      </w:r>
      <w:r>
        <w:rPr>
          <w:rFonts w:hint="eastAsia" w:ascii="宋体" w:hAnsi="宋体" w:cs="宋体"/>
          <w:sz w:val="24"/>
          <w:szCs w:val="24"/>
        </w:rPr>
        <w:t>、</w:t>
      </w:r>
      <w:r>
        <w:rPr>
          <w:rFonts w:hint="eastAsia" w:cs="Century"/>
          <w:sz w:val="24"/>
          <w:szCs w:val="24"/>
        </w:rPr>
        <w:t>设备费、材料费、模型等艺术品的制作、版权、包装、运输等一切费用、</w:t>
      </w:r>
      <w:r>
        <w:rPr>
          <w:rFonts w:cs="Century"/>
          <w:sz w:val="24"/>
          <w:szCs w:val="24"/>
        </w:rPr>
        <w:t>辅料</w:t>
      </w:r>
      <w:r>
        <w:rPr>
          <w:rFonts w:hint="eastAsia" w:cs="Century"/>
          <w:sz w:val="24"/>
          <w:szCs w:val="24"/>
        </w:rPr>
        <w:t>费、制作费、软件费、税费等其他相关费用，</w:t>
      </w:r>
      <w:r>
        <w:rPr>
          <w:rFonts w:hint="eastAsia" w:ascii="宋体" w:hAnsi="宋体" w:cs="宋体"/>
          <w:sz w:val="24"/>
          <w:szCs w:val="24"/>
        </w:rPr>
        <w:t>采用综合单价的计价方式，详见本合同《项目清单计价表》（附件一），且设备与建安工程开具不同税率的发票，工程量具体按实计量结算。</w:t>
      </w:r>
    </w:p>
    <w:p w14:paraId="7AB75CDC">
      <w:pPr>
        <w:spacing w:line="384" w:lineRule="auto"/>
        <w:ind w:firstLine="480" w:firstLineChars="200"/>
        <w:rPr>
          <w:rFonts w:hint="eastAsia" w:ascii="宋体" w:hAnsi="宋体" w:cs="宋体"/>
          <w:sz w:val="24"/>
          <w:szCs w:val="24"/>
        </w:rPr>
      </w:pPr>
      <w:r>
        <w:rPr>
          <w:rFonts w:hint="eastAsia" w:ascii="宋体" w:hAnsi="宋体" w:cs="宋体"/>
          <w:sz w:val="24"/>
          <w:szCs w:val="24"/>
        </w:rPr>
        <w:t>（2）项目增减价格：在本项目实施过程中，经双方一致同意的施工、定制项目的增减等，一方或双方将依据上述所规定的价格标准商定变更后的具体价格。</w:t>
      </w:r>
    </w:p>
    <w:p w14:paraId="17F318A9">
      <w:pPr>
        <w:spacing w:line="384" w:lineRule="auto"/>
        <w:ind w:firstLine="480" w:firstLineChars="200"/>
        <w:rPr>
          <w:rFonts w:hint="eastAsia" w:ascii="宋体" w:hAnsi="宋体" w:cs="宋体"/>
          <w:sz w:val="24"/>
          <w:szCs w:val="24"/>
        </w:rPr>
      </w:pPr>
      <w:r>
        <w:rPr>
          <w:rFonts w:hint="eastAsia" w:ascii="宋体" w:hAnsi="宋体" w:cs="宋体"/>
          <w:sz w:val="24"/>
          <w:szCs w:val="24"/>
        </w:rPr>
        <w:t>（3）乙方必须与甲方签订《工程质量保证书》（附件三）。</w:t>
      </w:r>
    </w:p>
    <w:p w14:paraId="77BFEF24">
      <w:pPr>
        <w:pStyle w:val="7"/>
        <w:rPr>
          <w:rFonts w:hint="eastAsia" w:ascii="宋体" w:hAnsi="宋体" w:eastAsia="宋体" w:cs="宋体"/>
          <w:sz w:val="24"/>
          <w:szCs w:val="24"/>
        </w:rPr>
      </w:pPr>
    </w:p>
    <w:p w14:paraId="51003CFE">
      <w:pPr>
        <w:pStyle w:val="8"/>
        <w:rPr>
          <w:rFonts w:hint="eastAsia" w:ascii="宋体" w:hAnsi="宋体" w:cs="宋体"/>
          <w:sz w:val="24"/>
          <w:szCs w:val="24"/>
        </w:rPr>
      </w:pPr>
    </w:p>
    <w:p w14:paraId="6667A6D0">
      <w:pPr>
        <w:pStyle w:val="8"/>
        <w:rPr>
          <w:rFonts w:hint="eastAsia" w:ascii="宋体" w:hAnsi="宋体" w:cs="宋体"/>
          <w:sz w:val="24"/>
          <w:szCs w:val="24"/>
        </w:rPr>
      </w:pPr>
    </w:p>
    <w:p w14:paraId="11FB3D98">
      <w:pPr>
        <w:pStyle w:val="8"/>
        <w:rPr>
          <w:rFonts w:hint="eastAsia" w:ascii="宋体" w:hAnsi="宋体" w:cs="宋体"/>
          <w:sz w:val="24"/>
          <w:szCs w:val="24"/>
        </w:rPr>
      </w:pPr>
    </w:p>
    <w:p w14:paraId="038FF7BD">
      <w:pPr>
        <w:pStyle w:val="34"/>
        <w:numPr>
          <w:ilvl w:val="0"/>
          <w:numId w:val="3"/>
        </w:numPr>
        <w:spacing w:line="384" w:lineRule="auto"/>
        <w:rPr>
          <w:rFonts w:hint="eastAsia" w:ascii="宋体" w:hAnsi="宋体" w:cs="宋体"/>
          <w:highlight w:val="none"/>
        </w:rPr>
      </w:pPr>
      <w:r>
        <w:rPr>
          <w:rFonts w:hint="eastAsia" w:ascii="宋体" w:hAnsi="宋体" w:cs="宋体"/>
          <w:highlight w:val="none"/>
        </w:rPr>
        <w:t xml:space="preserve">付款方式 </w:t>
      </w:r>
    </w:p>
    <w:p w14:paraId="31AAC006">
      <w:pPr>
        <w:spacing w:line="384" w:lineRule="auto"/>
        <w:ind w:firstLine="480" w:firstLineChars="200"/>
        <w:rPr>
          <w:rFonts w:hint="eastAsia" w:ascii="宋体" w:hAnsi="宋体" w:cs="宋体"/>
          <w:sz w:val="24"/>
          <w:szCs w:val="24"/>
        </w:rPr>
      </w:pPr>
      <w:r>
        <w:rPr>
          <w:rFonts w:hint="eastAsia" w:ascii="宋体" w:hAnsi="宋体" w:cs="宋体"/>
          <w:sz w:val="24"/>
          <w:szCs w:val="24"/>
        </w:rPr>
        <w:t>竣工验收合格且完成决算审计后付至审定价的90%，剩余10%待质保期</w:t>
      </w:r>
      <w:r>
        <w:rPr>
          <w:rFonts w:hint="eastAsia" w:ascii="宋体" w:hAnsi="宋体" w:cs="宋体"/>
          <w:sz w:val="24"/>
          <w:szCs w:val="24"/>
          <w:lang w:eastAsia="zh-CN"/>
        </w:rPr>
        <w:t>（</w:t>
      </w:r>
      <w:r>
        <w:rPr>
          <w:rFonts w:hint="eastAsia" w:ascii="宋体" w:hAnsi="宋体" w:cs="宋体"/>
          <w:sz w:val="24"/>
          <w:szCs w:val="24"/>
          <w:lang w:val="en-US" w:eastAsia="zh-CN"/>
        </w:rPr>
        <w:t>24个月，</w:t>
      </w:r>
      <w:r>
        <w:rPr>
          <w:rFonts w:hint="eastAsia" w:ascii="宋体" w:hAnsi="宋体" w:cs="宋体"/>
          <w:sz w:val="24"/>
          <w:szCs w:val="24"/>
        </w:rPr>
        <w:t>自工程竣工验收合格之日起计算</w:t>
      </w:r>
      <w:r>
        <w:rPr>
          <w:rFonts w:hint="eastAsia" w:ascii="宋体" w:hAnsi="宋体" w:cs="宋体"/>
          <w:sz w:val="24"/>
          <w:szCs w:val="24"/>
          <w:lang w:eastAsia="zh-CN"/>
        </w:rPr>
        <w:t>）</w:t>
      </w:r>
      <w:r>
        <w:rPr>
          <w:rFonts w:hint="eastAsia" w:ascii="宋体" w:hAnsi="宋体" w:cs="宋体"/>
          <w:sz w:val="24"/>
          <w:szCs w:val="24"/>
        </w:rPr>
        <w:t>满后一个月内付清，付款前提供9%税率发票。乙方在申请上述款项时，须满足：</w:t>
      </w:r>
    </w:p>
    <w:p w14:paraId="2E09F4C4">
      <w:pPr>
        <w:spacing w:line="384" w:lineRule="auto"/>
        <w:ind w:firstLine="480" w:firstLineChars="200"/>
        <w:rPr>
          <w:rFonts w:hint="eastAsia" w:ascii="宋体" w:hAnsi="宋体" w:cs="宋体"/>
          <w:sz w:val="24"/>
          <w:szCs w:val="24"/>
        </w:rPr>
      </w:pPr>
      <w:r>
        <w:rPr>
          <w:rFonts w:hint="eastAsia" w:ascii="宋体" w:hAnsi="宋体" w:cs="宋体"/>
          <w:sz w:val="24"/>
          <w:szCs w:val="24"/>
        </w:rPr>
        <w:t>●乙方受托施工或者定制的相关工作完成并经甲方确认。</w:t>
      </w:r>
    </w:p>
    <w:p w14:paraId="17FBE7AF">
      <w:pPr>
        <w:spacing w:line="384" w:lineRule="auto"/>
        <w:ind w:firstLine="480" w:firstLineChars="200"/>
        <w:rPr>
          <w:rFonts w:hint="eastAsia" w:ascii="宋体" w:hAnsi="宋体" w:cs="宋体"/>
          <w:sz w:val="24"/>
          <w:szCs w:val="24"/>
        </w:rPr>
      </w:pPr>
      <w:r>
        <w:rPr>
          <w:rFonts w:hint="eastAsia" w:ascii="宋体" w:hAnsi="宋体" w:cs="宋体"/>
          <w:sz w:val="24"/>
          <w:szCs w:val="24"/>
        </w:rPr>
        <w:t>●乙方在向甲方申请合同款项时，应按各期付款数额以及甲方的要求向甲方开具符合国家法律法规和标准的增值税专用发票，乙方承诺其开具发票的形式与内容均合法、有效、完整、准确，不开具或开具不合格的，甲方有权迟延支付应付款项直至乙方开具合格票据之日且不承担任何违约责任，且乙方的各项合同义务仍应按合同约定履行。</w:t>
      </w:r>
    </w:p>
    <w:p w14:paraId="1C6EA121">
      <w:pPr>
        <w:spacing w:line="384" w:lineRule="auto"/>
        <w:ind w:firstLine="480" w:firstLineChars="200"/>
        <w:rPr>
          <w:rFonts w:hint="eastAsia" w:ascii="宋体" w:hAnsi="宋体" w:cs="宋体"/>
          <w:sz w:val="24"/>
          <w:szCs w:val="24"/>
        </w:rPr>
      </w:pPr>
      <w:r>
        <w:rPr>
          <w:rFonts w:hint="eastAsia" w:ascii="宋体" w:hAnsi="宋体" w:cs="宋体"/>
          <w:sz w:val="24"/>
          <w:szCs w:val="24"/>
        </w:rPr>
        <w:t>●增值税专用发票要开“设备采购类增值税专用发票”。如果不可以，要把工程类和采购类分开，分别开增值税专用发票，全工程类发票不认。</w:t>
      </w:r>
    </w:p>
    <w:p w14:paraId="182596FE">
      <w:pPr>
        <w:spacing w:line="384" w:lineRule="auto"/>
        <w:ind w:firstLine="480" w:firstLineChars="200"/>
        <w:rPr>
          <w:rFonts w:hint="eastAsia" w:ascii="宋体" w:hAnsi="宋体" w:cs="宋体"/>
          <w:sz w:val="24"/>
          <w:szCs w:val="24"/>
        </w:rPr>
      </w:pPr>
      <w:r>
        <w:rPr>
          <w:rFonts w:hint="eastAsia" w:ascii="宋体" w:hAnsi="宋体" w:cs="宋体"/>
          <w:sz w:val="24"/>
          <w:szCs w:val="24"/>
        </w:rPr>
        <w:t>●如果乙方有赔偿或支付违约金的责任，则甲方有权从履约保函或应付合同价款中直接扣除相应金额。如果履约保函不足以抵扣违约金的，则可从支付款中继续扣除。</w:t>
      </w:r>
    </w:p>
    <w:p w14:paraId="00DE784D">
      <w:pPr>
        <w:spacing w:line="384" w:lineRule="auto"/>
        <w:ind w:firstLine="480" w:firstLineChars="200"/>
        <w:rPr>
          <w:rFonts w:hint="eastAsia" w:ascii="宋体" w:hAnsi="宋体" w:cs="宋体"/>
          <w:sz w:val="24"/>
          <w:szCs w:val="24"/>
        </w:rPr>
      </w:pPr>
      <w:r>
        <w:rPr>
          <w:rFonts w:hint="eastAsia" w:ascii="宋体" w:hAnsi="宋体" w:cs="宋体"/>
          <w:sz w:val="24"/>
          <w:szCs w:val="24"/>
        </w:rPr>
        <w:t>●以上金额，甲方以银行电汇的方式支付给乙方，乙方帐号资料如下：</w:t>
      </w:r>
    </w:p>
    <w:p w14:paraId="28F58E43">
      <w:pPr>
        <w:spacing w:line="384" w:lineRule="auto"/>
        <w:ind w:firstLine="480" w:firstLineChars="200"/>
        <w:rPr>
          <w:rFonts w:hint="eastAsia" w:ascii="宋体" w:hAnsi="宋体" w:cs="宋体"/>
          <w:sz w:val="24"/>
          <w:szCs w:val="24"/>
        </w:rPr>
      </w:pPr>
      <w:r>
        <w:rPr>
          <w:rFonts w:hint="eastAsia" w:ascii="宋体" w:hAnsi="宋体" w:cs="宋体"/>
          <w:bCs/>
          <w:sz w:val="24"/>
          <w:szCs w:val="24"/>
        </w:rPr>
        <w:t>户名</w:t>
      </w:r>
      <w:r>
        <w:rPr>
          <w:rFonts w:hint="eastAsia" w:ascii="宋体" w:hAnsi="宋体" w:cs="宋体"/>
          <w:sz w:val="24"/>
          <w:szCs w:val="24"/>
        </w:rPr>
        <w:t xml:space="preserve">：      </w:t>
      </w:r>
    </w:p>
    <w:p w14:paraId="461D9C1D">
      <w:pPr>
        <w:spacing w:line="384" w:lineRule="auto"/>
        <w:ind w:firstLine="480" w:firstLineChars="200"/>
        <w:rPr>
          <w:rFonts w:hint="eastAsia" w:ascii="宋体" w:hAnsi="宋体" w:cs="宋体"/>
          <w:sz w:val="24"/>
          <w:szCs w:val="24"/>
        </w:rPr>
      </w:pPr>
      <w:r>
        <w:rPr>
          <w:rFonts w:hint="eastAsia" w:ascii="宋体" w:hAnsi="宋体" w:cs="宋体"/>
          <w:sz w:val="24"/>
          <w:szCs w:val="24"/>
        </w:rPr>
        <w:t>账号：</w:t>
      </w:r>
    </w:p>
    <w:p w14:paraId="6F27FE3F">
      <w:pPr>
        <w:spacing w:line="384" w:lineRule="auto"/>
        <w:ind w:firstLine="480" w:firstLineChars="200"/>
        <w:rPr>
          <w:rFonts w:hint="eastAsia" w:ascii="宋体" w:hAnsi="宋体" w:cs="宋体"/>
          <w:sz w:val="24"/>
          <w:szCs w:val="24"/>
        </w:rPr>
      </w:pPr>
      <w:r>
        <w:rPr>
          <w:rFonts w:hint="eastAsia" w:ascii="宋体" w:hAnsi="宋体" w:cs="宋体"/>
          <w:sz w:val="24"/>
          <w:szCs w:val="24"/>
        </w:rPr>
        <w:t>开户行：</w:t>
      </w:r>
    </w:p>
    <w:p w14:paraId="3BC448BB">
      <w:pPr>
        <w:spacing w:line="384" w:lineRule="auto"/>
        <w:jc w:val="left"/>
        <w:rPr>
          <w:rFonts w:hint="eastAsia" w:ascii="宋体" w:hAnsi="宋体" w:cs="宋体"/>
          <w:sz w:val="24"/>
          <w:szCs w:val="24"/>
        </w:rPr>
      </w:pPr>
      <w:r>
        <w:rPr>
          <w:rFonts w:hint="eastAsia" w:ascii="宋体" w:hAnsi="宋体" w:cs="宋体"/>
          <w:sz w:val="24"/>
          <w:szCs w:val="24"/>
        </w:rPr>
        <w:t xml:space="preserve">     3. 乙方未经甲方同意超出设计图自行增加的工程量和因乙方原因返工增加的工程量不予计量。由于乙方设计的原因导致设计变更，致使工程量增加及造价的增加，并致使工期顺延，发生的一切费用由乙方承担。</w:t>
      </w:r>
    </w:p>
    <w:p w14:paraId="6E4F4CDE">
      <w:pPr>
        <w:pStyle w:val="2"/>
        <w:numPr>
          <w:ilvl w:val="0"/>
          <w:numId w:val="4"/>
        </w:numPr>
        <w:spacing w:line="384" w:lineRule="auto"/>
        <w:ind w:firstLine="480"/>
        <w:rPr>
          <w:rFonts w:hint="eastAsia" w:cs="宋体"/>
          <w:sz w:val="24"/>
          <w:szCs w:val="24"/>
          <w:lang w:val="en-US" w:eastAsia="zh-CN"/>
        </w:rPr>
      </w:pPr>
      <w:bookmarkStart w:id="8" w:name="_Toc516238990"/>
      <w:r>
        <w:rPr>
          <w:rFonts w:hint="eastAsia" w:cs="宋体"/>
          <w:sz w:val="24"/>
          <w:szCs w:val="24"/>
        </w:rPr>
        <w:t>双方</w:t>
      </w:r>
      <w:bookmarkEnd w:id="8"/>
      <w:r>
        <w:rPr>
          <w:rFonts w:hint="eastAsia" w:cs="宋体"/>
          <w:sz w:val="24"/>
          <w:szCs w:val="24"/>
          <w:lang w:val="en-US" w:eastAsia="zh-CN"/>
        </w:rPr>
        <w:t>的权利和义务</w:t>
      </w:r>
    </w:p>
    <w:p w14:paraId="6FDDF37D">
      <w:pPr>
        <w:spacing w:line="384" w:lineRule="auto"/>
        <w:ind w:firstLine="240" w:firstLineChars="100"/>
        <w:rPr>
          <w:rFonts w:hint="eastAsia" w:ascii="宋体" w:hAnsi="宋体" w:cs="宋体"/>
          <w:sz w:val="24"/>
          <w:szCs w:val="24"/>
        </w:rPr>
      </w:pPr>
      <w:r>
        <w:rPr>
          <w:rFonts w:hint="eastAsia" w:ascii="宋体" w:hAnsi="宋体" w:cs="宋体"/>
          <w:sz w:val="24"/>
          <w:szCs w:val="24"/>
        </w:rPr>
        <w:t>1、甲方的权利和义务：</w:t>
      </w:r>
    </w:p>
    <w:p w14:paraId="5FF998D5">
      <w:pPr>
        <w:spacing w:line="384" w:lineRule="auto"/>
        <w:rPr>
          <w:rFonts w:hint="eastAsia" w:ascii="宋体" w:hAnsi="宋体" w:cs="宋体"/>
          <w:sz w:val="24"/>
          <w:szCs w:val="24"/>
        </w:rPr>
      </w:pPr>
      <w:r>
        <w:rPr>
          <w:rFonts w:hint="eastAsia" w:ascii="宋体" w:hAnsi="宋体" w:cs="宋体"/>
          <w:sz w:val="24"/>
          <w:szCs w:val="24"/>
        </w:rPr>
        <w:t>（1）进场前向乙方进行现场交底并办理布展服务所涉及的各种申请、备案、批件等手续。</w:t>
      </w:r>
    </w:p>
    <w:p w14:paraId="244CC1BC">
      <w:pPr>
        <w:spacing w:line="384" w:lineRule="auto"/>
        <w:rPr>
          <w:rFonts w:hint="eastAsia" w:ascii="宋体" w:hAnsi="宋体" w:cs="宋体"/>
          <w:sz w:val="24"/>
          <w:szCs w:val="24"/>
        </w:rPr>
      </w:pPr>
      <w:r>
        <w:rPr>
          <w:rFonts w:hint="eastAsia" w:ascii="宋体" w:hAnsi="宋体" w:cs="宋体"/>
          <w:sz w:val="24"/>
          <w:szCs w:val="24"/>
        </w:rPr>
        <w:t xml:space="preserve">（2）甲方应在项目开工前组织并完成设计变更、招投标暂估价及增项批价工作。    </w:t>
      </w:r>
    </w:p>
    <w:p w14:paraId="12A49BA5">
      <w:pPr>
        <w:spacing w:line="384" w:lineRule="auto"/>
        <w:rPr>
          <w:rFonts w:hint="eastAsia" w:ascii="宋体" w:hAnsi="宋体" w:cs="宋体"/>
          <w:sz w:val="24"/>
          <w:szCs w:val="24"/>
        </w:rPr>
      </w:pPr>
      <w:r>
        <w:rPr>
          <w:rFonts w:hint="eastAsia" w:ascii="宋体" w:hAnsi="宋体" w:cs="宋体"/>
          <w:sz w:val="24"/>
          <w:szCs w:val="24"/>
        </w:rPr>
        <w:t>（3）甲方按照合同中的付款期限，按时向乙方支付款项。</w:t>
      </w:r>
    </w:p>
    <w:p w14:paraId="1B7D11B5">
      <w:pPr>
        <w:spacing w:line="384" w:lineRule="auto"/>
        <w:rPr>
          <w:rFonts w:hint="eastAsia" w:ascii="宋体" w:hAnsi="宋体" w:cs="宋体"/>
          <w:sz w:val="24"/>
          <w:szCs w:val="24"/>
        </w:rPr>
      </w:pPr>
      <w:r>
        <w:rPr>
          <w:rFonts w:hint="eastAsia" w:ascii="宋体" w:hAnsi="宋体" w:cs="宋体"/>
          <w:sz w:val="24"/>
          <w:szCs w:val="24"/>
        </w:rPr>
        <w:t>（4）甲方有责任在乙方采购设备到货后2日内进行设备点验并签字确认，乙方再开始测试与安装调试工作。如甲方逾期未验收也未另行确定验收时间的，视为验收合格。</w:t>
      </w:r>
    </w:p>
    <w:p w14:paraId="323A8122">
      <w:pPr>
        <w:spacing w:line="384" w:lineRule="auto"/>
        <w:rPr>
          <w:rFonts w:hint="eastAsia" w:ascii="宋体" w:hAnsi="宋体" w:cs="宋体"/>
          <w:sz w:val="24"/>
          <w:szCs w:val="24"/>
        </w:rPr>
      </w:pPr>
      <w:r>
        <w:rPr>
          <w:rFonts w:hint="eastAsia" w:ascii="宋体" w:hAnsi="宋体" w:cs="宋体"/>
          <w:sz w:val="24"/>
          <w:szCs w:val="24"/>
        </w:rPr>
        <w:t>（5）甲方负责协助乙方安排设备安装场地及设计成果、硬件安装调试环境（包含但不限于可靠供电、供水）与进入场地的通道，甲方应确保移交场地整洁。</w:t>
      </w:r>
    </w:p>
    <w:p w14:paraId="044EFE82">
      <w:pPr>
        <w:spacing w:line="384" w:lineRule="auto"/>
        <w:rPr>
          <w:rFonts w:hint="eastAsia" w:ascii="宋体" w:hAnsi="宋体" w:cs="宋体"/>
          <w:sz w:val="24"/>
          <w:szCs w:val="24"/>
        </w:rPr>
      </w:pPr>
      <w:r>
        <w:rPr>
          <w:rFonts w:hint="eastAsia" w:ascii="宋体" w:hAnsi="宋体" w:cs="宋体"/>
          <w:sz w:val="24"/>
          <w:szCs w:val="24"/>
        </w:rPr>
        <w:t>（6）在乙方不按合同要求进行施工的情况下，勒令承包人暂停施工，并在承包人整改完毕提出报告后进行审核和批准复工。</w:t>
      </w:r>
    </w:p>
    <w:p w14:paraId="3FA8AB11">
      <w:pPr>
        <w:spacing w:line="384" w:lineRule="auto"/>
        <w:rPr>
          <w:rFonts w:hint="eastAsia" w:ascii="宋体" w:hAnsi="宋体" w:cs="宋体"/>
          <w:sz w:val="24"/>
          <w:szCs w:val="24"/>
        </w:rPr>
      </w:pPr>
      <w:r>
        <w:rPr>
          <w:rFonts w:hint="eastAsia" w:ascii="宋体" w:hAnsi="宋体" w:cs="宋体"/>
          <w:sz w:val="24"/>
          <w:szCs w:val="24"/>
        </w:rPr>
        <w:t>（7）甲方委派__________(电话：__________手机：__________电子邮件：__________)为甲方项目负责人，负责本合同履行过程中质量进度的监督、工程变更的确认、验收等事宜的办理，委派 __________(电话：__________手机：__________电子邮件：__________)为项目日常执行对接人，负责与乙方进行工作联系，负责提供乙方所需文件和参考资料、转达甲方的意见和要求等履行合同过程中相关日常工作对接事宜。</w:t>
      </w:r>
    </w:p>
    <w:p w14:paraId="7E1023F1">
      <w:pPr>
        <w:spacing w:line="384" w:lineRule="auto"/>
        <w:rPr>
          <w:rFonts w:hint="eastAsia" w:ascii="宋体" w:hAnsi="宋体" w:cs="宋体"/>
          <w:sz w:val="24"/>
          <w:szCs w:val="24"/>
        </w:rPr>
      </w:pPr>
      <w:r>
        <w:rPr>
          <w:rFonts w:hint="eastAsia" w:ascii="宋体" w:hAnsi="宋体" w:cs="宋体"/>
          <w:sz w:val="24"/>
          <w:szCs w:val="24"/>
        </w:rPr>
        <w:t>（8）向乙方提供符合布展施工条件的场地（屋面防水已完工、外墙完成封闭、门窗已安装），同时提供施工所需的临水、临电接口。在施工中如因场地原因造成乙方损失和甲方的原因所产生的工程量增加、变更等情况，乙方向甲方递交工程量签证单，甲方代表应在回执上签认。</w:t>
      </w:r>
    </w:p>
    <w:p w14:paraId="34CDF6DF">
      <w:pPr>
        <w:spacing w:line="384" w:lineRule="auto"/>
        <w:rPr>
          <w:rFonts w:hint="eastAsia" w:ascii="宋体" w:hAnsi="宋体" w:cs="宋体"/>
          <w:sz w:val="24"/>
          <w:szCs w:val="24"/>
        </w:rPr>
      </w:pPr>
      <w:r>
        <w:rPr>
          <w:rFonts w:hint="eastAsia" w:ascii="宋体" w:hAnsi="宋体" w:cs="宋体"/>
          <w:sz w:val="24"/>
          <w:szCs w:val="24"/>
        </w:rPr>
        <w:t>（9）甲方应及时安排结算审计工作。</w:t>
      </w:r>
    </w:p>
    <w:p w14:paraId="04780743">
      <w:pPr>
        <w:spacing w:line="384" w:lineRule="auto"/>
        <w:ind w:firstLine="240" w:firstLineChars="100"/>
        <w:rPr>
          <w:rFonts w:hint="eastAsia" w:ascii="宋体" w:hAnsi="宋体" w:cs="宋体"/>
          <w:sz w:val="24"/>
          <w:szCs w:val="24"/>
        </w:rPr>
      </w:pPr>
      <w:r>
        <w:rPr>
          <w:rFonts w:hint="eastAsia" w:ascii="宋体" w:hAnsi="宋体" w:cs="宋体"/>
          <w:sz w:val="24"/>
          <w:szCs w:val="24"/>
        </w:rPr>
        <w:t>2、乙方权利和义务：</w:t>
      </w:r>
    </w:p>
    <w:p w14:paraId="0263AB84">
      <w:pPr>
        <w:spacing w:line="384" w:lineRule="auto"/>
        <w:rPr>
          <w:rFonts w:hint="eastAsia" w:ascii="宋体" w:hAnsi="宋体" w:cs="宋体"/>
          <w:sz w:val="24"/>
          <w:szCs w:val="24"/>
        </w:rPr>
      </w:pPr>
      <w:r>
        <w:rPr>
          <w:rFonts w:hint="eastAsia" w:ascii="宋体" w:hAnsi="宋体" w:cs="宋体"/>
          <w:sz w:val="24"/>
          <w:szCs w:val="24"/>
        </w:rPr>
        <w:t>（1）乙方应向甲方提供设计方案，如因乙方技术方案设计问题导致的故障与问题，由乙方负责解决，费用由乙方承担。</w:t>
      </w:r>
    </w:p>
    <w:p w14:paraId="361F713B">
      <w:pPr>
        <w:spacing w:line="384" w:lineRule="auto"/>
        <w:rPr>
          <w:rFonts w:hint="eastAsia" w:ascii="宋体" w:hAnsi="宋体" w:cs="宋体"/>
          <w:sz w:val="24"/>
          <w:szCs w:val="24"/>
        </w:rPr>
      </w:pPr>
      <w:r>
        <w:rPr>
          <w:rFonts w:hint="eastAsia" w:ascii="宋体" w:hAnsi="宋体" w:cs="宋体"/>
          <w:sz w:val="24"/>
          <w:szCs w:val="24"/>
        </w:rPr>
        <w:t>（2）乙方应严格按照工期要求展开各项工作，期间甲方可根据乙方汇报资料认定乙方的阶段性工作进度。</w:t>
      </w:r>
    </w:p>
    <w:p w14:paraId="5A65F366">
      <w:pPr>
        <w:spacing w:line="384" w:lineRule="auto"/>
        <w:rPr>
          <w:rFonts w:hint="eastAsia" w:ascii="宋体" w:hAnsi="宋体" w:cs="宋体"/>
          <w:sz w:val="24"/>
          <w:szCs w:val="24"/>
        </w:rPr>
      </w:pPr>
      <w:r>
        <w:rPr>
          <w:rFonts w:hint="eastAsia" w:ascii="宋体" w:hAnsi="宋体" w:cs="宋体"/>
          <w:sz w:val="24"/>
          <w:szCs w:val="24"/>
        </w:rPr>
        <w:t>（3）乙方负责硬件设备货物的发运，运输费用已包含在总货款之中，甲方不需另行支付。硬件设备自到达安装现场之日起，乙方对安装期间的施工现场及入场设备负有安保义务。甲方付清设备款后设备所有权归甲方所有。</w:t>
      </w:r>
    </w:p>
    <w:p w14:paraId="4EBC16F8">
      <w:pPr>
        <w:spacing w:line="384" w:lineRule="auto"/>
        <w:rPr>
          <w:rFonts w:hint="eastAsia" w:ascii="宋体" w:hAnsi="宋体" w:cs="宋体"/>
          <w:sz w:val="24"/>
          <w:szCs w:val="24"/>
        </w:rPr>
      </w:pPr>
      <w:r>
        <w:rPr>
          <w:rFonts w:hint="eastAsia" w:ascii="宋体" w:hAnsi="宋体" w:cs="宋体"/>
          <w:sz w:val="24"/>
          <w:szCs w:val="24"/>
        </w:rPr>
        <w:t>（4）乙方有权要求甲方按照合同约定支付相应款项。</w:t>
      </w:r>
    </w:p>
    <w:p w14:paraId="03EB196A">
      <w:pPr>
        <w:spacing w:line="384" w:lineRule="auto"/>
        <w:rPr>
          <w:rFonts w:hint="eastAsia" w:ascii="宋体" w:hAnsi="宋体" w:cs="宋体"/>
          <w:sz w:val="24"/>
          <w:szCs w:val="24"/>
        </w:rPr>
      </w:pPr>
      <w:r>
        <w:rPr>
          <w:rFonts w:hint="eastAsia" w:ascii="宋体" w:hAnsi="宋体" w:cs="宋体"/>
          <w:sz w:val="24"/>
          <w:szCs w:val="24"/>
        </w:rPr>
        <w:t>（5）项目竣工验收、设备调试交付使用前，乙方应负责编制项目日常运行操作和设备维护说明书，对甲方人员进行技术培训，确保甲方人员操作行为顺利有效。</w:t>
      </w:r>
    </w:p>
    <w:p w14:paraId="74C2A0F1">
      <w:pPr>
        <w:spacing w:line="384" w:lineRule="auto"/>
        <w:rPr>
          <w:rFonts w:hint="eastAsia" w:ascii="宋体" w:hAnsi="宋体" w:cs="宋体"/>
          <w:sz w:val="24"/>
          <w:szCs w:val="24"/>
        </w:rPr>
      </w:pPr>
      <w:r>
        <w:rPr>
          <w:rFonts w:hint="eastAsia" w:ascii="宋体" w:hAnsi="宋体" w:cs="宋体"/>
          <w:sz w:val="24"/>
          <w:szCs w:val="24"/>
        </w:rPr>
        <w:t>（6）乙方应保证施工场地清洁符合环境卫生管理的有关规定，施工期间须及时将垃圾清理出施工现场，竣工验收前全部清理完毕。工程移交甲方前，乙方应负责清理完废料、垃圾、施工机具等。</w:t>
      </w:r>
    </w:p>
    <w:p w14:paraId="1E83028F">
      <w:pPr>
        <w:spacing w:line="384" w:lineRule="auto"/>
        <w:rPr>
          <w:rFonts w:hint="eastAsia" w:ascii="宋体" w:hAnsi="宋体" w:cs="宋体"/>
          <w:sz w:val="24"/>
          <w:szCs w:val="24"/>
        </w:rPr>
      </w:pPr>
      <w:r>
        <w:rPr>
          <w:rFonts w:hint="eastAsia" w:ascii="宋体" w:hAnsi="宋体" w:cs="宋体"/>
          <w:sz w:val="24"/>
          <w:szCs w:val="24"/>
        </w:rPr>
        <w:t>（7）乙方应指定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电子邮件：</w:t>
      </w:r>
      <w:r>
        <w:rPr>
          <w:rFonts w:hint="eastAsia" w:ascii="宋体" w:hAnsi="宋体" w:cs="宋体"/>
          <w:sz w:val="24"/>
          <w:szCs w:val="24"/>
          <w:u w:val="single"/>
        </w:rPr>
        <w:t xml:space="preserve">         </w:t>
      </w:r>
      <w:r>
        <w:rPr>
          <w:rFonts w:hint="eastAsia" w:ascii="宋体" w:hAnsi="宋体" w:cs="宋体"/>
          <w:sz w:val="24"/>
          <w:szCs w:val="24"/>
        </w:rPr>
        <w:t>)为本项目负责人，其职权为履行本合同，负责本合同履行过程中与甲方的沟通与联系工作。甲方所有问题、建议、函件均由甲方指定的本合同负责人签字后由日常执行对接人与乙方项目负责人对接。</w:t>
      </w:r>
    </w:p>
    <w:p w14:paraId="1C42CBAB">
      <w:pPr>
        <w:spacing w:line="384" w:lineRule="auto"/>
        <w:rPr>
          <w:rFonts w:hint="eastAsia" w:ascii="宋体" w:hAnsi="宋体" w:cs="宋体"/>
          <w:sz w:val="24"/>
          <w:szCs w:val="24"/>
        </w:rPr>
      </w:pPr>
      <w:r>
        <w:rPr>
          <w:rFonts w:hint="eastAsia" w:ascii="宋体" w:hAnsi="宋体" w:cs="宋体"/>
          <w:sz w:val="24"/>
          <w:szCs w:val="24"/>
        </w:rPr>
        <w:t>（8）乙方应服从甲方委派的项目负责人的正常监督管理并给予积极配合。</w:t>
      </w:r>
    </w:p>
    <w:p w14:paraId="5CF86DC8">
      <w:pPr>
        <w:spacing w:line="384" w:lineRule="auto"/>
        <w:rPr>
          <w:rFonts w:hint="eastAsia" w:ascii="宋体" w:hAnsi="宋体" w:cs="宋体"/>
          <w:sz w:val="24"/>
          <w:szCs w:val="24"/>
        </w:rPr>
      </w:pPr>
      <w:r>
        <w:rPr>
          <w:rFonts w:hint="eastAsia" w:ascii="宋体" w:hAnsi="宋体" w:cs="宋体"/>
          <w:sz w:val="24"/>
          <w:szCs w:val="24"/>
        </w:rPr>
        <w:t>（9）乙方要配合甲方其他设备的安装，并提供便利条件。</w:t>
      </w:r>
    </w:p>
    <w:p w14:paraId="182E9A0A">
      <w:pPr>
        <w:spacing w:line="384" w:lineRule="auto"/>
        <w:rPr>
          <w:rFonts w:hint="eastAsia" w:ascii="宋体" w:hAnsi="宋体" w:cs="宋体"/>
          <w:sz w:val="24"/>
          <w:szCs w:val="24"/>
        </w:rPr>
      </w:pPr>
      <w:r>
        <w:rPr>
          <w:rFonts w:hint="eastAsia" w:ascii="宋体" w:hAnsi="宋体" w:cs="宋体"/>
          <w:sz w:val="24"/>
          <w:szCs w:val="24"/>
        </w:rPr>
        <w:t>（10）如因乙方自身原因所产生的工程量增加、变更等情况，由乙方自行承担费用。</w:t>
      </w:r>
    </w:p>
    <w:p w14:paraId="5972EDD7">
      <w:pPr>
        <w:spacing w:line="384" w:lineRule="auto"/>
        <w:rPr>
          <w:rFonts w:hint="eastAsia" w:ascii="宋体" w:hAnsi="宋体" w:cs="宋体"/>
          <w:sz w:val="24"/>
          <w:szCs w:val="24"/>
        </w:rPr>
      </w:pPr>
      <w:r>
        <w:rPr>
          <w:rFonts w:hint="eastAsia" w:ascii="宋体" w:hAnsi="宋体" w:cs="宋体"/>
          <w:sz w:val="24"/>
          <w:szCs w:val="24"/>
        </w:rPr>
        <w:t>（11）本合同实施过程中，乙方应对现场人员的安全、现场秩序、成品/半成品/进场设备保护、环境保护、消防、用电等负责。确保施工安全无事故，承担因乙方未采取安全措施引起事故责任所造成的损失。</w:t>
      </w:r>
    </w:p>
    <w:p w14:paraId="47763ED5">
      <w:pPr>
        <w:pStyle w:val="2"/>
        <w:spacing w:line="384" w:lineRule="auto"/>
        <w:ind w:firstLine="482" w:firstLineChars="200"/>
        <w:rPr>
          <w:rFonts w:hint="eastAsia" w:cs="宋体"/>
          <w:sz w:val="24"/>
          <w:szCs w:val="24"/>
        </w:rPr>
      </w:pPr>
      <w:bookmarkStart w:id="9" w:name="_Toc516238991"/>
      <w:r>
        <w:rPr>
          <w:rFonts w:hint="eastAsia" w:cs="宋体"/>
          <w:sz w:val="24"/>
          <w:szCs w:val="24"/>
        </w:rPr>
        <w:t>六.交付与验收</w:t>
      </w:r>
      <w:bookmarkEnd w:id="9"/>
    </w:p>
    <w:p w14:paraId="0BAFA404">
      <w:pPr>
        <w:spacing w:line="384" w:lineRule="auto"/>
        <w:ind w:firstLine="480" w:firstLineChars="200"/>
        <w:rPr>
          <w:rFonts w:hint="eastAsia" w:ascii="宋体" w:hAnsi="宋体" w:cs="宋体"/>
          <w:sz w:val="24"/>
          <w:szCs w:val="24"/>
        </w:rPr>
      </w:pPr>
      <w:r>
        <w:rPr>
          <w:rFonts w:hint="eastAsia" w:ascii="宋体" w:hAnsi="宋体" w:cs="宋体"/>
          <w:sz w:val="24"/>
          <w:szCs w:val="24"/>
        </w:rPr>
        <w:t>1.交付</w:t>
      </w:r>
    </w:p>
    <w:p w14:paraId="3B4C87C1">
      <w:pPr>
        <w:spacing w:line="384" w:lineRule="auto"/>
        <w:ind w:firstLine="480" w:firstLineChars="200"/>
        <w:rPr>
          <w:rFonts w:hint="eastAsia" w:ascii="宋体" w:hAnsi="宋体" w:cs="宋体"/>
          <w:sz w:val="24"/>
          <w:szCs w:val="24"/>
        </w:rPr>
      </w:pPr>
      <w:r>
        <w:rPr>
          <w:rFonts w:hint="eastAsia" w:ascii="宋体" w:hAnsi="宋体" w:cs="宋体"/>
          <w:sz w:val="24"/>
          <w:szCs w:val="24"/>
        </w:rPr>
        <w:t>（1）乙方应在进行每项交付前</w:t>
      </w:r>
      <w:r>
        <w:rPr>
          <w:rFonts w:hint="eastAsia" w:ascii="宋体" w:hAnsi="宋体" w:cs="宋体"/>
          <w:sz w:val="24"/>
          <w:szCs w:val="24"/>
          <w:u w:val="single"/>
        </w:rPr>
        <w:t xml:space="preserve">  3 </w:t>
      </w:r>
      <w:r>
        <w:rPr>
          <w:rFonts w:hint="eastAsia" w:ascii="宋体" w:hAnsi="宋体" w:cs="宋体"/>
          <w:sz w:val="24"/>
          <w:szCs w:val="24"/>
        </w:rPr>
        <w:t>个工作日内，以书面方式通知甲方。甲方应当在接到通知的</w:t>
      </w:r>
      <w:r>
        <w:rPr>
          <w:rFonts w:hint="eastAsia" w:ascii="宋体" w:hAnsi="宋体" w:cs="宋体"/>
          <w:sz w:val="24"/>
          <w:szCs w:val="24"/>
          <w:u w:val="single"/>
        </w:rPr>
        <w:t xml:space="preserve">  3 个 </w:t>
      </w:r>
      <w:r>
        <w:rPr>
          <w:rFonts w:hint="eastAsia" w:ascii="宋体" w:hAnsi="宋体" w:cs="宋体"/>
          <w:sz w:val="24"/>
          <w:szCs w:val="24"/>
        </w:rPr>
        <w:t>工作日内安排接受交付。乙方在交付前应当根据附件中约定的规格标准对所交付的项目进行规格、功能和运行检测，以确认交付项目符合本合同的规定。如乙方交付阶段性项目合格，甲方应开具《验收合格书》至乙方。</w:t>
      </w:r>
    </w:p>
    <w:p w14:paraId="51053B75">
      <w:pPr>
        <w:spacing w:line="384" w:lineRule="auto"/>
        <w:ind w:firstLine="480" w:firstLineChars="200"/>
        <w:rPr>
          <w:rFonts w:hint="eastAsia" w:ascii="宋体" w:hAnsi="宋体" w:cs="宋体"/>
          <w:sz w:val="24"/>
          <w:szCs w:val="24"/>
        </w:rPr>
      </w:pPr>
      <w:r>
        <w:rPr>
          <w:rFonts w:hint="eastAsia" w:ascii="宋体" w:hAnsi="宋体" w:cs="宋体"/>
          <w:sz w:val="24"/>
          <w:szCs w:val="24"/>
        </w:rPr>
        <w:t>（2）如果由于甲方的原因而导致交付不能按时进行，乙方将按延期时间顺延交付。如果因延期交付而导致乙方遭受损失的，甲方应当予以赔偿。如果甲方无正当理由不接受交付，则视为乙方已经交付，甲方应当按照合同的约定付款。双方对此另有约定的除外。</w:t>
      </w:r>
    </w:p>
    <w:p w14:paraId="6C7A92B6">
      <w:pPr>
        <w:spacing w:line="384" w:lineRule="auto"/>
        <w:ind w:firstLine="480" w:firstLineChars="200"/>
        <w:rPr>
          <w:rFonts w:hint="eastAsia" w:ascii="宋体" w:hAnsi="宋体" w:cs="宋体"/>
          <w:sz w:val="24"/>
          <w:szCs w:val="24"/>
        </w:rPr>
      </w:pPr>
      <w:r>
        <w:rPr>
          <w:rFonts w:hint="eastAsia" w:ascii="宋体" w:hAnsi="宋体" w:cs="宋体"/>
          <w:sz w:val="24"/>
          <w:szCs w:val="24"/>
        </w:rPr>
        <w:t>2.交付内容</w:t>
      </w:r>
    </w:p>
    <w:p w14:paraId="1B3194E2">
      <w:pPr>
        <w:pStyle w:val="34"/>
        <w:numPr>
          <w:ilvl w:val="0"/>
          <w:numId w:val="5"/>
        </w:numPr>
        <w:spacing w:line="384" w:lineRule="auto"/>
        <w:rPr>
          <w:rFonts w:hint="eastAsia" w:ascii="宋体" w:hAnsi="宋体" w:cs="宋体"/>
          <w:lang w:eastAsia="zh-CN"/>
        </w:rPr>
      </w:pPr>
      <w:r>
        <w:rPr>
          <w:rFonts w:hint="eastAsia" w:ascii="宋体" w:hAnsi="宋体" w:cs="宋体"/>
          <w:lang w:eastAsia="zh-CN"/>
        </w:rPr>
        <w:t>乙方应按照合同及其附件所约定的内容进行交付。</w:t>
      </w:r>
    </w:p>
    <w:p w14:paraId="18DC475A">
      <w:pPr>
        <w:spacing w:line="384" w:lineRule="auto"/>
        <w:ind w:firstLine="480" w:firstLineChars="200"/>
        <w:rPr>
          <w:rFonts w:hint="eastAsia" w:ascii="宋体" w:hAnsi="宋体" w:cs="宋体"/>
          <w:sz w:val="24"/>
          <w:szCs w:val="24"/>
        </w:rPr>
      </w:pPr>
      <w:r>
        <w:rPr>
          <w:rFonts w:hint="eastAsia" w:ascii="宋体" w:hAnsi="宋体" w:cs="宋体"/>
          <w:sz w:val="24"/>
          <w:szCs w:val="24"/>
        </w:rPr>
        <w:t>（2）如果由于甲方使用不当或其它非乙方原因而造成所交付项目的问题，经甲方要求，乙方应当在 5 个工作日内帮助处理此项故障或问题，由此而产生的费用由甲方承担。</w:t>
      </w:r>
    </w:p>
    <w:p w14:paraId="60412ACB">
      <w:pPr>
        <w:spacing w:line="384" w:lineRule="auto"/>
        <w:ind w:firstLine="480" w:firstLineChars="200"/>
        <w:rPr>
          <w:rFonts w:hint="eastAsia" w:ascii="宋体" w:hAnsi="宋体" w:cs="宋体"/>
          <w:sz w:val="24"/>
          <w:szCs w:val="24"/>
        </w:rPr>
      </w:pPr>
      <w:r>
        <w:rPr>
          <w:rFonts w:hint="eastAsia" w:ascii="宋体" w:hAnsi="宋体" w:cs="宋体"/>
          <w:sz w:val="24"/>
          <w:szCs w:val="24"/>
        </w:rPr>
        <w:t>（3）因乙方工期安排或施工等问题导致项目未按时交付，按工程违约金处理。</w:t>
      </w:r>
    </w:p>
    <w:p w14:paraId="63994197">
      <w:pPr>
        <w:spacing w:line="384" w:lineRule="auto"/>
        <w:ind w:firstLine="480" w:firstLineChars="200"/>
        <w:rPr>
          <w:rFonts w:hint="eastAsia" w:ascii="宋体" w:hAnsi="宋体" w:cs="宋体"/>
          <w:sz w:val="24"/>
          <w:szCs w:val="24"/>
        </w:rPr>
      </w:pPr>
      <w:r>
        <w:rPr>
          <w:rFonts w:hint="eastAsia" w:ascii="宋体" w:hAnsi="宋体" w:cs="宋体"/>
          <w:sz w:val="24"/>
          <w:szCs w:val="24"/>
        </w:rPr>
        <w:t>3.验收</w:t>
      </w:r>
    </w:p>
    <w:p w14:paraId="67389796">
      <w:pPr>
        <w:spacing w:line="384" w:lineRule="auto"/>
        <w:ind w:firstLine="480" w:firstLineChars="200"/>
        <w:rPr>
          <w:rFonts w:hint="eastAsia" w:ascii="宋体" w:hAnsi="宋体" w:cs="宋体"/>
          <w:sz w:val="24"/>
          <w:szCs w:val="24"/>
        </w:rPr>
      </w:pPr>
      <w:r>
        <w:rPr>
          <w:rFonts w:hint="eastAsia" w:ascii="宋体" w:hAnsi="宋体" w:cs="宋体"/>
          <w:sz w:val="24"/>
          <w:szCs w:val="24"/>
        </w:rPr>
        <w:t>（1）甲方在验收交付项目后，应当在5个工作日内对所交付项目进行验收，并向乙方出具书面文件，以确认其是否符合本合同所约定的设计任务、施工质量。如有缺陷，应向乙方出具书面报告，陈述需要改进的缺陷。乙方应立即改进此项缺陷，并再次进行检测和评估。甲方应当于5</w:t>
      </w:r>
      <w:r>
        <w:rPr>
          <w:rFonts w:hint="eastAsia" w:ascii="宋体" w:hAnsi="宋体" w:cs="宋体"/>
          <w:sz w:val="24"/>
          <w:szCs w:val="24"/>
          <w:lang w:eastAsia="zh-CN"/>
        </w:rPr>
        <w:t>个</w:t>
      </w:r>
      <w:r>
        <w:rPr>
          <w:rFonts w:hint="eastAsia" w:ascii="宋体" w:hAnsi="宋体" w:cs="宋体"/>
          <w:sz w:val="24"/>
          <w:szCs w:val="24"/>
        </w:rPr>
        <w:t>工作日内再次验收并向乙方出具书面文件或递交缺陷报告。甲、乙双方将重复此项程序直至甲方检测通过,但不得超过合同或者其他双方确认的文件约定的范围。</w:t>
      </w:r>
    </w:p>
    <w:p w14:paraId="0DA9A036">
      <w:pPr>
        <w:spacing w:line="384" w:lineRule="auto"/>
        <w:ind w:firstLine="480" w:firstLineChars="200"/>
        <w:rPr>
          <w:rFonts w:hint="eastAsia" w:ascii="宋体" w:hAnsi="宋体" w:cs="宋体"/>
          <w:sz w:val="24"/>
          <w:szCs w:val="24"/>
        </w:rPr>
      </w:pPr>
      <w:r>
        <w:rPr>
          <w:rFonts w:hint="eastAsia" w:ascii="宋体" w:hAnsi="宋体" w:cs="宋体"/>
          <w:sz w:val="24"/>
          <w:szCs w:val="24"/>
        </w:rPr>
        <w:t>（2）甲方在约定验收期间内，应提供验收便利并按时进行验收，如甲方不提供验收便利或不按时验收的，则超出验收期限，视为乙方交付成果符合合同要求的施工任务，甲方应依照合同约定履行付款义务。</w:t>
      </w:r>
    </w:p>
    <w:p w14:paraId="2A716862">
      <w:pPr>
        <w:spacing w:line="384" w:lineRule="auto"/>
        <w:ind w:firstLine="480" w:firstLineChars="200"/>
        <w:rPr>
          <w:rFonts w:hint="eastAsia" w:ascii="宋体" w:hAnsi="宋体" w:cs="宋体"/>
          <w:sz w:val="24"/>
          <w:szCs w:val="24"/>
        </w:rPr>
      </w:pPr>
      <w:r>
        <w:rPr>
          <w:rFonts w:hint="eastAsia" w:ascii="宋体" w:hAnsi="宋体" w:cs="宋体"/>
          <w:sz w:val="24"/>
          <w:szCs w:val="24"/>
        </w:rPr>
        <w:t>（3）如项目工程未按双方确认的施工效果图实施或者经验收不合格的，甲方有权不验收项目，乙方应全面赔偿甲方损失。</w:t>
      </w:r>
    </w:p>
    <w:p w14:paraId="4C6FB011">
      <w:pPr>
        <w:pStyle w:val="6"/>
        <w:spacing w:line="38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（4）完成建设工程设计和合同约定的各项内容；有完整的技术档案和施工管理资料；有工程使用的主要材料、构配件和设备的合格试验报告；</w:t>
      </w:r>
    </w:p>
    <w:p w14:paraId="5ED84853">
      <w:pPr>
        <w:pStyle w:val="2"/>
        <w:spacing w:line="384" w:lineRule="auto"/>
        <w:ind w:firstLine="482" w:firstLineChars="200"/>
        <w:rPr>
          <w:rFonts w:hint="eastAsia" w:cs="宋体"/>
          <w:sz w:val="24"/>
          <w:szCs w:val="24"/>
        </w:rPr>
      </w:pPr>
      <w:bookmarkStart w:id="10" w:name="_Toc516238992"/>
      <w:r>
        <w:rPr>
          <w:rFonts w:hint="eastAsia" w:cs="宋体"/>
          <w:sz w:val="24"/>
          <w:szCs w:val="24"/>
        </w:rPr>
        <w:t>七.质保</w:t>
      </w:r>
      <w:bookmarkEnd w:id="10"/>
    </w:p>
    <w:p w14:paraId="62F74E6B">
      <w:pPr>
        <w:spacing w:line="384" w:lineRule="auto"/>
        <w:ind w:firstLine="480" w:firstLineChars="200"/>
        <w:rPr>
          <w:rFonts w:hint="eastAsia" w:ascii="宋体" w:hAnsi="宋体" w:cs="宋体"/>
          <w:sz w:val="24"/>
          <w:szCs w:val="24"/>
        </w:rPr>
      </w:pPr>
      <w:r>
        <w:rPr>
          <w:rFonts w:hint="eastAsia" w:ascii="宋体" w:hAnsi="宋体" w:cs="宋体"/>
          <w:sz w:val="24"/>
          <w:szCs w:val="24"/>
        </w:rPr>
        <w:t>1.乙方自本设计施工工程项目整体交付验收合格之日起的</w:t>
      </w:r>
      <w:r>
        <w:rPr>
          <w:rFonts w:hint="eastAsia" w:ascii="宋体" w:hAnsi="宋体" w:cs="宋体"/>
          <w:sz w:val="24"/>
          <w:szCs w:val="24"/>
          <w:u w:val="single"/>
        </w:rPr>
        <w:t xml:space="preserve"> 两 </w:t>
      </w:r>
      <w:r>
        <w:rPr>
          <w:rFonts w:hint="eastAsia" w:ascii="宋体" w:hAnsi="宋体" w:cs="宋体"/>
          <w:sz w:val="24"/>
          <w:szCs w:val="24"/>
        </w:rPr>
        <w:t>年内向甲方提供免费的保修和维护服务。保修期内，乙方应自收到甲方保修及维修服务要求后的三日内予以解决。在保修期内如果由于甲方故意或重大过失的原因引起的上述故障，其修理和维护费用由甲方承担。</w:t>
      </w:r>
    </w:p>
    <w:p w14:paraId="083D5C45">
      <w:pPr>
        <w:spacing w:line="384" w:lineRule="auto"/>
        <w:ind w:firstLine="480" w:firstLineChars="200"/>
        <w:rPr>
          <w:rFonts w:hint="eastAsia" w:ascii="宋体" w:hAnsi="宋体" w:cs="宋体"/>
          <w:sz w:val="24"/>
          <w:szCs w:val="24"/>
        </w:rPr>
      </w:pPr>
      <w:r>
        <w:rPr>
          <w:rFonts w:hint="eastAsia" w:ascii="宋体" w:hAnsi="宋体" w:cs="宋体"/>
          <w:sz w:val="24"/>
          <w:szCs w:val="24"/>
        </w:rPr>
        <w:t>2.项目保修期期满后，如果甲方继续聘请乙方对本合同所规定的项目进行维护，则双方另行签署维护协议。</w:t>
      </w:r>
    </w:p>
    <w:p w14:paraId="3E124F09">
      <w:pPr>
        <w:pStyle w:val="2"/>
        <w:spacing w:line="384" w:lineRule="auto"/>
        <w:ind w:firstLine="482" w:firstLineChars="200"/>
        <w:rPr>
          <w:rFonts w:hint="eastAsia" w:cs="宋体"/>
          <w:sz w:val="24"/>
          <w:szCs w:val="24"/>
        </w:rPr>
      </w:pPr>
      <w:bookmarkStart w:id="11" w:name="_Toc516238993"/>
      <w:r>
        <w:rPr>
          <w:rFonts w:hint="eastAsia" w:cs="宋体"/>
          <w:sz w:val="24"/>
          <w:szCs w:val="24"/>
        </w:rPr>
        <w:t>八.保密与非竞争</w:t>
      </w:r>
      <w:bookmarkEnd w:id="11"/>
    </w:p>
    <w:p w14:paraId="011410BA">
      <w:pPr>
        <w:spacing w:line="384" w:lineRule="auto"/>
        <w:ind w:firstLine="480" w:firstLineChars="200"/>
        <w:rPr>
          <w:rFonts w:hint="eastAsia" w:ascii="宋体" w:hAnsi="宋体" w:cs="宋体"/>
          <w:sz w:val="24"/>
          <w:szCs w:val="24"/>
        </w:rPr>
      </w:pPr>
      <w:r>
        <w:rPr>
          <w:rFonts w:hint="eastAsia" w:ascii="宋体" w:hAnsi="宋体" w:cs="宋体"/>
          <w:sz w:val="24"/>
          <w:szCs w:val="24"/>
        </w:rPr>
        <w:t>甲乙双方同意按签订的《保密承诺书》执行。</w:t>
      </w:r>
    </w:p>
    <w:p w14:paraId="4763AE4D">
      <w:pPr>
        <w:pStyle w:val="2"/>
        <w:spacing w:line="384" w:lineRule="auto"/>
        <w:ind w:firstLine="482" w:firstLineChars="200"/>
        <w:rPr>
          <w:rFonts w:hint="eastAsia" w:cs="宋体"/>
          <w:sz w:val="24"/>
          <w:szCs w:val="24"/>
        </w:rPr>
      </w:pPr>
      <w:bookmarkStart w:id="12" w:name="_Toc516238994"/>
      <w:r>
        <w:rPr>
          <w:rFonts w:hint="eastAsia" w:cs="宋体"/>
          <w:sz w:val="24"/>
          <w:szCs w:val="24"/>
        </w:rPr>
        <w:t>九.不可抗力</w:t>
      </w:r>
      <w:bookmarkEnd w:id="12"/>
    </w:p>
    <w:p w14:paraId="687DB06A">
      <w:pPr>
        <w:spacing w:line="384" w:lineRule="auto"/>
        <w:ind w:firstLine="480" w:firstLineChars="200"/>
        <w:rPr>
          <w:rFonts w:hint="eastAsia" w:ascii="宋体" w:hAnsi="宋体" w:cs="宋体"/>
          <w:sz w:val="24"/>
          <w:szCs w:val="24"/>
        </w:rPr>
      </w:pPr>
      <w:r>
        <w:rPr>
          <w:rFonts w:hint="eastAsia" w:ascii="宋体" w:hAnsi="宋体" w:cs="宋体"/>
          <w:sz w:val="24"/>
          <w:szCs w:val="24"/>
        </w:rPr>
        <w:t>1.不可抗力必须是指一方不可控制的并不可预见的事件，包括但不限于以下：</w:t>
      </w:r>
    </w:p>
    <w:p w14:paraId="0E0B6618">
      <w:pPr>
        <w:spacing w:line="384" w:lineRule="auto"/>
        <w:ind w:firstLine="480" w:firstLineChars="200"/>
        <w:rPr>
          <w:rFonts w:hint="eastAsia" w:ascii="宋体" w:hAnsi="宋体" w:cs="宋体"/>
          <w:sz w:val="24"/>
          <w:szCs w:val="24"/>
        </w:rPr>
      </w:pPr>
      <w:r>
        <w:rPr>
          <w:rFonts w:hint="eastAsia" w:ascii="宋体" w:hAnsi="宋体" w:cs="宋体"/>
          <w:sz w:val="24"/>
          <w:szCs w:val="24"/>
        </w:rPr>
        <w:t>（1）自然灾害、地震、洪水、雷击、火灾、磁电窜入等；</w:t>
      </w:r>
    </w:p>
    <w:p w14:paraId="56D90FF1">
      <w:pPr>
        <w:spacing w:line="384" w:lineRule="auto"/>
        <w:ind w:firstLine="480" w:firstLineChars="200"/>
        <w:rPr>
          <w:rFonts w:hint="eastAsia" w:ascii="宋体" w:hAnsi="宋体" w:cs="宋体"/>
          <w:sz w:val="24"/>
          <w:szCs w:val="24"/>
        </w:rPr>
      </w:pPr>
      <w:r>
        <w:rPr>
          <w:rFonts w:hint="eastAsia" w:ascii="宋体" w:hAnsi="宋体" w:cs="宋体"/>
          <w:sz w:val="24"/>
          <w:szCs w:val="24"/>
        </w:rPr>
        <w:t>（2）战争或准战争状态、恐怖活动、戒严、骚乱、罢工、政府行为或电信管制等。</w:t>
      </w:r>
    </w:p>
    <w:p w14:paraId="5424230E">
      <w:pPr>
        <w:spacing w:line="384" w:lineRule="auto"/>
        <w:ind w:firstLine="480" w:firstLineChars="200"/>
        <w:rPr>
          <w:rFonts w:hint="eastAsia" w:ascii="宋体" w:hAnsi="宋体" w:cs="宋体"/>
          <w:sz w:val="24"/>
          <w:szCs w:val="24"/>
        </w:rPr>
      </w:pPr>
      <w:r>
        <w:rPr>
          <w:rFonts w:hint="eastAsia" w:ascii="宋体" w:hAnsi="宋体" w:cs="宋体"/>
          <w:sz w:val="24"/>
          <w:szCs w:val="24"/>
        </w:rPr>
        <w:t>2.由于上述不可抗力因素致使乙方无法按合同规定的时间完成服务，则此类延误将被视为不可抗力，乙方不承担违约责任，但必须及时书面通知甲方。</w:t>
      </w:r>
    </w:p>
    <w:p w14:paraId="4C1269ED">
      <w:pPr>
        <w:spacing w:line="384" w:lineRule="auto"/>
        <w:ind w:firstLine="480" w:firstLineChars="200"/>
        <w:rPr>
          <w:rFonts w:hint="eastAsia" w:ascii="宋体" w:hAnsi="宋体" w:cs="宋体"/>
          <w:sz w:val="24"/>
          <w:szCs w:val="24"/>
        </w:rPr>
      </w:pPr>
      <w:r>
        <w:rPr>
          <w:rFonts w:hint="eastAsia" w:ascii="宋体" w:hAnsi="宋体" w:cs="宋体"/>
          <w:sz w:val="24"/>
          <w:szCs w:val="24"/>
        </w:rPr>
        <w:t>3.在不可抗力事件发生后十日内，受不可抗力影响一方应以挂号信或电子邮件的方式将有关部门出具的证明送达对方，否则对方可不予承认其遭受不可抗力影响，并需承担违约责任。</w:t>
      </w:r>
    </w:p>
    <w:p w14:paraId="4B1D9F8F">
      <w:pPr>
        <w:pStyle w:val="2"/>
        <w:spacing w:line="384" w:lineRule="auto"/>
        <w:ind w:firstLine="482" w:firstLineChars="200"/>
        <w:rPr>
          <w:rFonts w:hint="eastAsia" w:cs="宋体"/>
          <w:sz w:val="24"/>
          <w:szCs w:val="24"/>
        </w:rPr>
      </w:pPr>
      <w:bookmarkStart w:id="13" w:name="_Toc516238995"/>
      <w:r>
        <w:rPr>
          <w:rFonts w:hint="eastAsia" w:cs="宋体"/>
          <w:sz w:val="24"/>
          <w:szCs w:val="24"/>
        </w:rPr>
        <w:t>十.项目变更</w:t>
      </w:r>
      <w:bookmarkEnd w:id="13"/>
    </w:p>
    <w:p w14:paraId="57FC2D57">
      <w:pPr>
        <w:spacing w:line="384" w:lineRule="auto"/>
        <w:ind w:firstLine="480" w:firstLineChars="200"/>
        <w:rPr>
          <w:rFonts w:hint="eastAsia" w:ascii="宋体" w:hAnsi="宋体" w:cs="宋体"/>
          <w:sz w:val="24"/>
          <w:szCs w:val="24"/>
        </w:rPr>
      </w:pPr>
      <w:r>
        <w:rPr>
          <w:rFonts w:hint="eastAsia" w:ascii="宋体" w:hAnsi="宋体" w:cs="宋体"/>
          <w:sz w:val="24"/>
          <w:szCs w:val="24"/>
        </w:rPr>
        <w:t>为了维护和兼顾各方的利益，确保项目顺利实施的，在本合同签署后，甲、乙双方均有权在履行本合同的过程中合理地提出变更、扩展、替换或修改本项目的某些部分的建议。为此，双方同意：</w:t>
      </w:r>
    </w:p>
    <w:p w14:paraId="0B9EC770">
      <w:pPr>
        <w:spacing w:line="384" w:lineRule="auto"/>
        <w:ind w:firstLine="480" w:firstLineChars="200"/>
        <w:rPr>
          <w:rFonts w:hint="eastAsia" w:ascii="宋体" w:hAnsi="宋体" w:cs="宋体"/>
          <w:sz w:val="24"/>
          <w:szCs w:val="24"/>
        </w:rPr>
      </w:pPr>
      <w:r>
        <w:rPr>
          <w:rFonts w:hint="eastAsia" w:ascii="宋体" w:hAnsi="宋体" w:cs="宋体"/>
          <w:sz w:val="24"/>
          <w:szCs w:val="24"/>
        </w:rPr>
        <w:t>1.甲方应当将变更请求以书面形式提交给乙方。乙方应在 3 个工作日内对此作出书面回复，其内容包括该变更对合同价格、项目交付日期以及对合同条款的影响等。</w:t>
      </w:r>
    </w:p>
    <w:p w14:paraId="450D3C2D">
      <w:pPr>
        <w:spacing w:line="384" w:lineRule="auto"/>
        <w:ind w:firstLine="480" w:firstLineChars="200"/>
        <w:rPr>
          <w:rFonts w:hint="eastAsia" w:ascii="宋体" w:hAnsi="宋体" w:cs="宋体"/>
          <w:sz w:val="24"/>
          <w:szCs w:val="24"/>
        </w:rPr>
      </w:pPr>
      <w:r>
        <w:rPr>
          <w:rFonts w:hint="eastAsia" w:ascii="宋体" w:hAnsi="宋体" w:cs="宋体"/>
          <w:sz w:val="24"/>
          <w:szCs w:val="24"/>
        </w:rPr>
        <w:t>2.甲方在收到乙方的回复后，应在 3 个工作日内以书面方式通知乙方是否接受乙方上述回复。如果甲方接受乙方的上述回复，则双方应对此变更以书面形式予以确认，并按变更后的约定履行本合同。</w:t>
      </w:r>
    </w:p>
    <w:p w14:paraId="149D7766">
      <w:pPr>
        <w:spacing w:line="384" w:lineRule="auto"/>
        <w:ind w:firstLine="480" w:firstLineChars="200"/>
        <w:rPr>
          <w:rFonts w:hint="eastAsia" w:ascii="宋体" w:hAnsi="宋体" w:cs="宋体"/>
          <w:sz w:val="24"/>
          <w:szCs w:val="24"/>
        </w:rPr>
      </w:pPr>
      <w:r>
        <w:rPr>
          <w:rFonts w:hint="eastAsia" w:ascii="宋体" w:hAnsi="宋体" w:cs="宋体"/>
          <w:sz w:val="24"/>
          <w:szCs w:val="24"/>
        </w:rPr>
        <w:t>3.如乙方提出部分项目的变更建议，乙方应同时详细阐明该变更对合同价格、项目交付日期以及对合同条款的影响等。</w:t>
      </w:r>
    </w:p>
    <w:p w14:paraId="79BE4DC9">
      <w:pPr>
        <w:spacing w:line="384" w:lineRule="auto"/>
        <w:ind w:firstLine="480" w:firstLineChars="200"/>
        <w:rPr>
          <w:rFonts w:hint="eastAsia" w:ascii="宋体" w:hAnsi="宋体" w:cs="宋体"/>
          <w:sz w:val="24"/>
          <w:szCs w:val="24"/>
        </w:rPr>
      </w:pPr>
      <w:r>
        <w:rPr>
          <w:rFonts w:hint="eastAsia" w:ascii="宋体" w:hAnsi="宋体" w:cs="宋体"/>
          <w:sz w:val="24"/>
          <w:szCs w:val="24"/>
        </w:rPr>
        <w:t>4.甲方在收到乙方的上述变更建议后，应当在3个工作日内以书面方式通知乙方是否同意和接受乙方的上述变更建议。如果甲方接受回复，则双方对此变更以书面形式作出确认，双方按照变更后的约定履行本合同。如甲方不同意乙方的上述建议，双方仍按原合同执行，但由此而产生的相关风险，包括信息系统的风险由乙方承担。</w:t>
      </w:r>
    </w:p>
    <w:p w14:paraId="3B14779E">
      <w:pPr>
        <w:pStyle w:val="2"/>
        <w:spacing w:line="384" w:lineRule="auto"/>
        <w:ind w:firstLine="482" w:firstLineChars="200"/>
        <w:rPr>
          <w:rFonts w:hint="eastAsia" w:cs="宋体"/>
          <w:sz w:val="24"/>
          <w:szCs w:val="24"/>
        </w:rPr>
      </w:pPr>
      <w:bookmarkStart w:id="14" w:name="_Toc516238996"/>
      <w:r>
        <w:rPr>
          <w:rFonts w:hint="eastAsia" w:cs="宋体"/>
          <w:sz w:val="24"/>
          <w:szCs w:val="24"/>
        </w:rPr>
        <w:t>十一.违约与赔偿责任</w:t>
      </w:r>
      <w:bookmarkEnd w:id="14"/>
    </w:p>
    <w:p w14:paraId="16916FC8">
      <w:pPr>
        <w:spacing w:line="384" w:lineRule="auto"/>
        <w:ind w:firstLine="480" w:firstLineChars="200"/>
        <w:rPr>
          <w:rFonts w:hint="eastAsia" w:ascii="宋体" w:hAnsi="宋体" w:cs="宋体"/>
          <w:sz w:val="24"/>
          <w:szCs w:val="24"/>
        </w:rPr>
      </w:pPr>
      <w:r>
        <w:rPr>
          <w:rFonts w:hint="eastAsia" w:ascii="宋体" w:hAnsi="宋体" w:cs="宋体"/>
          <w:sz w:val="24"/>
          <w:szCs w:val="24"/>
        </w:rPr>
        <w:t>1.乙方违约责任：</w:t>
      </w:r>
    </w:p>
    <w:p w14:paraId="660D690E">
      <w:pPr>
        <w:spacing w:line="384" w:lineRule="auto"/>
        <w:ind w:firstLine="480" w:firstLineChars="200"/>
        <w:rPr>
          <w:rFonts w:hint="eastAsia" w:ascii="宋体" w:hAnsi="宋体" w:cs="宋体"/>
          <w:sz w:val="24"/>
          <w:szCs w:val="24"/>
        </w:rPr>
      </w:pPr>
      <w:r>
        <w:rPr>
          <w:rFonts w:hint="eastAsia" w:ascii="宋体" w:hAnsi="宋体" w:cs="宋体"/>
          <w:sz w:val="24"/>
          <w:szCs w:val="24"/>
        </w:rPr>
        <w:t>（1）乙方必须在规定的工期内完工，若由于乙方原因导致工期延误的，每延迟一天，按本合同总价0.5‰承担违约金，此项违约金总额最高不超过合同总额的10%。</w:t>
      </w:r>
    </w:p>
    <w:p w14:paraId="31DB0255">
      <w:pPr>
        <w:spacing w:line="384" w:lineRule="auto"/>
        <w:ind w:firstLine="480" w:firstLineChars="200"/>
        <w:rPr>
          <w:rFonts w:hint="eastAsia" w:ascii="宋体" w:hAnsi="宋体" w:cs="宋体"/>
          <w:sz w:val="24"/>
          <w:szCs w:val="24"/>
        </w:rPr>
      </w:pPr>
      <w:r>
        <w:rPr>
          <w:rFonts w:hint="eastAsia" w:ascii="宋体" w:hAnsi="宋体" w:cs="宋体"/>
          <w:sz w:val="24"/>
          <w:szCs w:val="24"/>
        </w:rPr>
        <w:t>（2）乙方未经甲方同意中途停工、私自撤离工程队伍，不按照合同规定履行合同义务的；以及乙方或乙方雇员到甲方的用户单位寻衅滋事，给甲方造成不良影响的，甲方有权解除本合同，并且要求乙方赔偿因此给甲方造成的直接与间接的经济损失。</w:t>
      </w:r>
    </w:p>
    <w:p w14:paraId="1FCA6474">
      <w:pPr>
        <w:spacing w:line="384" w:lineRule="auto"/>
        <w:ind w:firstLine="480" w:firstLineChars="200"/>
        <w:rPr>
          <w:rFonts w:hint="eastAsia" w:ascii="宋体" w:hAnsi="宋体" w:cs="宋体"/>
          <w:sz w:val="24"/>
          <w:szCs w:val="24"/>
        </w:rPr>
      </w:pPr>
      <w:r>
        <w:rPr>
          <w:rFonts w:hint="eastAsia" w:ascii="宋体" w:hAnsi="宋体" w:cs="宋体"/>
          <w:sz w:val="24"/>
          <w:szCs w:val="24"/>
        </w:rPr>
        <w:t>（3）在甲方下达工程整改通知书后，如乙方未在规定时间内完成整改工作，则每延迟一天应以合同金额的0.5‰承担逾期违约金；另外，如因进度需要，甲方有权另行聘请人员去整改，乙方需承担因此所发生的一切费用。</w:t>
      </w:r>
    </w:p>
    <w:p w14:paraId="1164D254">
      <w:pPr>
        <w:spacing w:line="384" w:lineRule="auto"/>
        <w:ind w:firstLine="480" w:firstLineChars="200"/>
        <w:rPr>
          <w:rFonts w:hint="eastAsia" w:ascii="宋体" w:hAnsi="宋体" w:cs="宋体"/>
          <w:sz w:val="24"/>
          <w:szCs w:val="24"/>
        </w:rPr>
      </w:pPr>
      <w:r>
        <w:rPr>
          <w:rFonts w:hint="eastAsia" w:ascii="宋体" w:hAnsi="宋体" w:cs="宋体"/>
          <w:sz w:val="24"/>
          <w:szCs w:val="24"/>
        </w:rPr>
        <w:t>（4）乙方在现场施工过程中有不文明行为，施工完毕未按要求将工程垃圾清扫干净的，每发现或接到投诉一次，扣款人民币500-2000元。</w:t>
      </w:r>
    </w:p>
    <w:p w14:paraId="5DA58365">
      <w:pPr>
        <w:spacing w:line="384" w:lineRule="auto"/>
        <w:ind w:firstLine="480" w:firstLineChars="200"/>
        <w:rPr>
          <w:rFonts w:hint="eastAsia" w:ascii="宋体" w:hAnsi="宋体" w:cs="宋体"/>
          <w:sz w:val="24"/>
          <w:szCs w:val="24"/>
        </w:rPr>
      </w:pPr>
      <w:r>
        <w:rPr>
          <w:rFonts w:hint="eastAsia" w:ascii="宋体" w:hAnsi="宋体" w:cs="宋体"/>
          <w:sz w:val="24"/>
          <w:szCs w:val="24"/>
        </w:rPr>
        <w:t>（5）乙方未经甲方许可随意撤换现场施工及管理人员的，按人民币1000元/人·次进行扣款，未经甲方许可撤换更换项目负责人的，按人民币10万元/次进行处罚。</w:t>
      </w:r>
    </w:p>
    <w:p w14:paraId="79FF81E5">
      <w:pPr>
        <w:spacing w:line="384" w:lineRule="auto"/>
        <w:ind w:firstLine="480" w:firstLineChars="200"/>
        <w:rPr>
          <w:rFonts w:hint="eastAsia" w:ascii="宋体" w:hAnsi="宋体" w:cs="宋体"/>
          <w:sz w:val="24"/>
          <w:szCs w:val="24"/>
        </w:rPr>
      </w:pPr>
      <w:r>
        <w:rPr>
          <w:rFonts w:hint="eastAsia" w:ascii="宋体" w:hAnsi="宋体" w:cs="宋体"/>
          <w:sz w:val="24"/>
          <w:szCs w:val="24"/>
        </w:rPr>
        <w:t>（6）若乙方在施工过程中向甲方虚报、瞒报工程进度以及其它弄虚作假行为的，一经发现，视情节的轻重，甲方有权利对乙方进行人民币1000元—20000元的扣款。</w:t>
      </w:r>
    </w:p>
    <w:p w14:paraId="5475E261">
      <w:pPr>
        <w:spacing w:line="384" w:lineRule="auto"/>
        <w:ind w:firstLine="480" w:firstLineChars="200"/>
        <w:rPr>
          <w:rFonts w:hint="eastAsia" w:ascii="宋体" w:hAnsi="宋体" w:cs="宋体"/>
          <w:sz w:val="24"/>
          <w:szCs w:val="24"/>
        </w:rPr>
      </w:pPr>
      <w:r>
        <w:rPr>
          <w:rFonts w:hint="eastAsia" w:ascii="宋体" w:hAnsi="宋体" w:cs="宋体"/>
          <w:sz w:val="24"/>
          <w:szCs w:val="24"/>
        </w:rPr>
        <w:t>（7）现场检查发现乙方提供的工程辅材不符合甲方提出的质量要求，甲方有权要求全部更换，更换后乙方将再次复检，若再次被检查出质量问题，除要求进行整改外将被处以人民币5000元以上的罚款，且甲方有权终止合同，并拒付余下未付的工程款项，但甲方指定采购或建议采购的除外。</w:t>
      </w:r>
    </w:p>
    <w:p w14:paraId="29F5269B">
      <w:pPr>
        <w:spacing w:line="384" w:lineRule="auto"/>
        <w:ind w:firstLine="480" w:firstLineChars="200"/>
        <w:rPr>
          <w:rFonts w:hint="eastAsia" w:ascii="宋体" w:hAnsi="宋体" w:cs="宋体"/>
          <w:sz w:val="24"/>
          <w:szCs w:val="24"/>
        </w:rPr>
      </w:pPr>
      <w:r>
        <w:rPr>
          <w:rFonts w:hint="eastAsia" w:ascii="宋体" w:hAnsi="宋体" w:cs="宋体"/>
          <w:sz w:val="24"/>
          <w:szCs w:val="24"/>
        </w:rPr>
        <w:t>（8）倘若乙方（含其安排的工程人员）的服务内容有质量瑕疵或安全隐患，导致工程项目无法通过验收或给甲方造成损失的，或者甲方对乙方交付的服务内容不满意或提出合理意见的，乙方应满足其要求。否则乙方除无权获得合同价款外，还应全面赔偿甲方所遭受的一切损失。</w:t>
      </w:r>
    </w:p>
    <w:p w14:paraId="3B49DD96">
      <w:pPr>
        <w:spacing w:line="384" w:lineRule="auto"/>
        <w:ind w:firstLine="480" w:firstLineChars="200"/>
        <w:rPr>
          <w:rFonts w:hint="eastAsia" w:ascii="宋体" w:hAnsi="宋体" w:cs="宋体"/>
          <w:sz w:val="24"/>
          <w:szCs w:val="24"/>
        </w:rPr>
      </w:pPr>
      <w:r>
        <w:rPr>
          <w:rFonts w:hint="eastAsia" w:ascii="宋体" w:hAnsi="宋体" w:cs="宋体"/>
          <w:sz w:val="24"/>
          <w:szCs w:val="24"/>
        </w:rPr>
        <w:t>若乙方违反上述条款，甲方除要求乙方支付赔偿金和违约金外，有权要求乙方赔偿甲方直接与间接的经济损失。</w:t>
      </w:r>
    </w:p>
    <w:p w14:paraId="4D472B3B">
      <w:pPr>
        <w:spacing w:line="384"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）以上所有的违约金甲方将在最近一笔支付给乙方的工程费中直接扣除，不足部分需由乙方限期内支付给甲方。</w:t>
      </w:r>
    </w:p>
    <w:p w14:paraId="40342DB0">
      <w:pPr>
        <w:spacing w:line="384" w:lineRule="auto"/>
        <w:ind w:firstLine="480" w:firstLineChars="200"/>
        <w:rPr>
          <w:rFonts w:hint="eastAsia" w:ascii="宋体" w:hAnsi="宋体" w:cs="宋体"/>
          <w:sz w:val="24"/>
          <w:szCs w:val="24"/>
        </w:rPr>
      </w:pPr>
      <w:r>
        <w:rPr>
          <w:rFonts w:hint="eastAsia" w:ascii="宋体" w:hAnsi="宋体" w:cs="宋体"/>
          <w:sz w:val="24"/>
          <w:szCs w:val="24"/>
        </w:rPr>
        <w:t>2.甲方违约责任：</w:t>
      </w:r>
    </w:p>
    <w:p w14:paraId="6AC47942">
      <w:pPr>
        <w:spacing w:line="384" w:lineRule="auto"/>
        <w:ind w:firstLine="480" w:firstLineChars="200"/>
        <w:rPr>
          <w:rFonts w:hint="eastAsia" w:ascii="宋体" w:hAnsi="宋体" w:cs="宋体"/>
          <w:sz w:val="24"/>
          <w:szCs w:val="24"/>
        </w:rPr>
      </w:pPr>
      <w:r>
        <w:rPr>
          <w:rFonts w:hint="eastAsia" w:ascii="宋体" w:hAnsi="宋体" w:cs="宋体"/>
          <w:sz w:val="24"/>
          <w:szCs w:val="24"/>
        </w:rPr>
        <w:t>（1）在乙方无任何违约、过错或不当行为的情形下，如甲方故意不按合同规定的时间将工程费用全部付清，则每延迟付款一天，甲方应按欠付金额的0.5‰向乙方支付违约金，此项违约金最高不超过合同金额的10%。</w:t>
      </w:r>
    </w:p>
    <w:p w14:paraId="74B3CA92">
      <w:pPr>
        <w:spacing w:line="384" w:lineRule="auto"/>
        <w:ind w:firstLine="480" w:firstLineChars="200"/>
        <w:rPr>
          <w:rFonts w:hint="eastAsia" w:ascii="宋体" w:hAnsi="宋体" w:cs="宋体"/>
          <w:sz w:val="24"/>
          <w:szCs w:val="24"/>
        </w:rPr>
      </w:pPr>
      <w:r>
        <w:rPr>
          <w:rFonts w:hint="eastAsia" w:ascii="宋体" w:hAnsi="宋体" w:cs="宋体"/>
          <w:sz w:val="24"/>
          <w:szCs w:val="24"/>
        </w:rPr>
        <w:t>（2）如因甲方没有做好前期准备，不能及时提供必要的工作条件，则由此引起的延误责任由甲方承担。</w:t>
      </w:r>
    </w:p>
    <w:p w14:paraId="68CA0532">
      <w:pPr>
        <w:spacing w:line="384" w:lineRule="auto"/>
        <w:ind w:firstLine="480" w:firstLineChars="200"/>
        <w:rPr>
          <w:rFonts w:hint="eastAsia" w:ascii="宋体" w:hAnsi="宋体" w:cs="宋体"/>
          <w:sz w:val="24"/>
          <w:szCs w:val="24"/>
        </w:rPr>
      </w:pPr>
      <w:r>
        <w:rPr>
          <w:rFonts w:hint="eastAsia" w:ascii="宋体" w:hAnsi="宋体" w:cs="宋体"/>
          <w:sz w:val="24"/>
          <w:szCs w:val="24"/>
        </w:rPr>
        <w:t>3.违约赔偿</w:t>
      </w:r>
    </w:p>
    <w:p w14:paraId="0EEDA2F7">
      <w:pPr>
        <w:spacing w:line="384" w:lineRule="auto"/>
        <w:ind w:firstLine="480" w:firstLineChars="200"/>
        <w:rPr>
          <w:rFonts w:hint="eastAsia" w:ascii="宋体" w:hAnsi="宋体" w:cs="宋体"/>
          <w:sz w:val="24"/>
          <w:szCs w:val="24"/>
        </w:rPr>
      </w:pPr>
      <w:r>
        <w:rPr>
          <w:rFonts w:hint="eastAsia" w:ascii="宋体" w:hAnsi="宋体" w:cs="宋体"/>
          <w:sz w:val="24"/>
          <w:szCs w:val="24"/>
        </w:rPr>
        <w:t>如守约方按上述违约条款要求违约方支付违约金或赔偿金时，应书面通知违约方并说明违约金或赔偿金额；违约方应在收到通知后十天内将违约金支付给对方；如违约方对违约金或赔偿金额有异议，应在收到通知后一周内通知对方，双方应在收到对方的通知或答复后尽快协商明确违约责任。违约方应在双方就违约金或赔偿金金额达成协议后的十天内将违约金或赔偿金支付给对方。</w:t>
      </w:r>
    </w:p>
    <w:p w14:paraId="27DD42FC">
      <w:pPr>
        <w:spacing w:line="384" w:lineRule="auto"/>
        <w:ind w:firstLine="480" w:firstLineChars="200"/>
        <w:rPr>
          <w:rFonts w:hint="eastAsia" w:ascii="宋体" w:hAnsi="宋体" w:cs="宋体"/>
          <w:sz w:val="24"/>
          <w:szCs w:val="24"/>
        </w:rPr>
      </w:pPr>
      <w:r>
        <w:rPr>
          <w:rFonts w:hint="eastAsia" w:ascii="宋体" w:hAnsi="宋体" w:cs="宋体"/>
          <w:sz w:val="24"/>
          <w:szCs w:val="24"/>
        </w:rPr>
        <w:t>4.在上述违约期的计算中，应扣除第九条中不可抗力因素所造成的延迟。</w:t>
      </w:r>
    </w:p>
    <w:p w14:paraId="21D25139">
      <w:pPr>
        <w:spacing w:line="384" w:lineRule="auto"/>
        <w:ind w:firstLine="480" w:firstLineChars="200"/>
        <w:rPr>
          <w:rFonts w:hint="eastAsia" w:ascii="宋体" w:hAnsi="宋体" w:cs="宋体"/>
          <w:sz w:val="24"/>
          <w:szCs w:val="24"/>
        </w:rPr>
      </w:pPr>
      <w:r>
        <w:rPr>
          <w:rFonts w:hint="eastAsia" w:ascii="宋体" w:hAnsi="宋体" w:cs="宋体"/>
          <w:sz w:val="24"/>
          <w:szCs w:val="24"/>
        </w:rPr>
        <w:t>5.保密违约</w:t>
      </w:r>
    </w:p>
    <w:p w14:paraId="1462C20B">
      <w:pPr>
        <w:spacing w:line="384" w:lineRule="auto"/>
        <w:ind w:firstLine="480" w:firstLineChars="200"/>
        <w:rPr>
          <w:rFonts w:hint="eastAsia" w:ascii="宋体" w:hAnsi="宋体" w:cs="宋体"/>
          <w:sz w:val="24"/>
          <w:szCs w:val="24"/>
        </w:rPr>
      </w:pPr>
      <w:r>
        <w:rPr>
          <w:rFonts w:hint="eastAsia" w:ascii="宋体" w:hAnsi="宋体" w:cs="宋体"/>
          <w:sz w:val="24"/>
          <w:szCs w:val="24"/>
        </w:rPr>
        <w:t>任何一方违反本合同所规定的保密义务，违约方应当支付本合同总金额的 10 %作为违约金。如果发生违约事件，履约方要求违约方支付违约金时，应当以书面方式通知违约方，内容包括违约事件、违约金、支付时间和方式等。违约方在收到上述通知后，应当于5天内答复对方，并支付违约金。如果双方不能就此达成一致意见，可以按照本合同所规定的争议解决条款解决双方的纠纷，但任何一方不得采取非法手段或以损害本项目的方式实现违约金。</w:t>
      </w:r>
    </w:p>
    <w:p w14:paraId="5F813A6C">
      <w:pPr>
        <w:pStyle w:val="2"/>
        <w:spacing w:line="384" w:lineRule="auto"/>
        <w:ind w:firstLine="482" w:firstLineChars="200"/>
        <w:rPr>
          <w:rFonts w:hint="eastAsia" w:cs="宋体"/>
          <w:sz w:val="24"/>
          <w:szCs w:val="24"/>
        </w:rPr>
      </w:pPr>
      <w:bookmarkStart w:id="15" w:name="_Toc516238997"/>
      <w:r>
        <w:rPr>
          <w:rFonts w:hint="eastAsia" w:cs="宋体"/>
          <w:sz w:val="24"/>
          <w:szCs w:val="24"/>
        </w:rPr>
        <w:t>十二.争议解决</w:t>
      </w:r>
      <w:bookmarkEnd w:id="15"/>
    </w:p>
    <w:p w14:paraId="5E5B6848">
      <w:pPr>
        <w:spacing w:line="384" w:lineRule="auto"/>
        <w:ind w:firstLine="480" w:firstLineChars="200"/>
        <w:rPr>
          <w:rFonts w:hint="eastAsia" w:ascii="宋体" w:hAnsi="宋体" w:cs="宋体"/>
          <w:sz w:val="24"/>
          <w:szCs w:val="24"/>
        </w:rPr>
      </w:pPr>
      <w:r>
        <w:rPr>
          <w:rFonts w:hint="eastAsia" w:ascii="宋体" w:hAnsi="宋体" w:cs="宋体"/>
          <w:sz w:val="24"/>
          <w:szCs w:val="24"/>
        </w:rPr>
        <w:t>1.双方因为合同解释或合同履行发生争议的，应先进行友好协商。若7天内协商不成，则任何一方均有权向</w:t>
      </w:r>
      <w:r>
        <w:rPr>
          <w:rFonts w:hint="eastAsia" w:ascii="宋体" w:hAnsi="宋体" w:cs="宋体"/>
          <w:sz w:val="24"/>
          <w:szCs w:val="24"/>
          <w:lang w:val="en-US" w:eastAsia="zh-CN"/>
        </w:rPr>
        <w:t>工程</w:t>
      </w:r>
      <w:r>
        <w:rPr>
          <w:rFonts w:hint="eastAsia" w:ascii="宋体" w:hAnsi="宋体" w:cs="宋体"/>
          <w:sz w:val="24"/>
          <w:szCs w:val="24"/>
        </w:rPr>
        <w:t>所在地人民法院提起诉讼。</w:t>
      </w:r>
    </w:p>
    <w:p w14:paraId="5EDD4C90">
      <w:pPr>
        <w:spacing w:line="384" w:lineRule="auto"/>
        <w:ind w:firstLine="480" w:firstLineChars="200"/>
        <w:rPr>
          <w:rFonts w:hint="eastAsia" w:ascii="宋体" w:hAnsi="宋体" w:cs="宋体"/>
          <w:sz w:val="24"/>
          <w:szCs w:val="24"/>
        </w:rPr>
      </w:pPr>
      <w:r>
        <w:rPr>
          <w:rFonts w:hint="eastAsia" w:ascii="宋体" w:hAnsi="宋体" w:cs="宋体"/>
          <w:sz w:val="24"/>
          <w:szCs w:val="24"/>
        </w:rPr>
        <w:t>2.争议解决期间，除争议事项外，双方都应继续履行各自在本合同中的其他义务。</w:t>
      </w:r>
    </w:p>
    <w:p w14:paraId="692AD3EF">
      <w:pPr>
        <w:pStyle w:val="2"/>
        <w:spacing w:line="384" w:lineRule="auto"/>
        <w:ind w:firstLine="482" w:firstLineChars="200"/>
        <w:rPr>
          <w:rFonts w:hint="eastAsia" w:cs="宋体"/>
          <w:sz w:val="24"/>
          <w:szCs w:val="24"/>
        </w:rPr>
      </w:pPr>
      <w:bookmarkStart w:id="16" w:name="_Toc516238998"/>
      <w:r>
        <w:rPr>
          <w:rFonts w:hint="eastAsia" w:cs="宋体"/>
          <w:sz w:val="24"/>
          <w:szCs w:val="24"/>
        </w:rPr>
        <w:t>十三.合同变更和解除</w:t>
      </w:r>
      <w:bookmarkEnd w:id="16"/>
    </w:p>
    <w:p w14:paraId="50DC5890">
      <w:pPr>
        <w:spacing w:line="384" w:lineRule="auto"/>
        <w:ind w:firstLine="480" w:firstLineChars="200"/>
        <w:rPr>
          <w:rFonts w:hint="eastAsia" w:ascii="宋体" w:hAnsi="宋体" w:cs="宋体"/>
          <w:sz w:val="24"/>
          <w:szCs w:val="24"/>
        </w:rPr>
      </w:pPr>
      <w:r>
        <w:rPr>
          <w:rFonts w:hint="eastAsia" w:ascii="宋体" w:hAnsi="宋体" w:cs="宋体"/>
          <w:sz w:val="24"/>
          <w:szCs w:val="24"/>
        </w:rPr>
        <w:t>1.本合同履行期间，发生特殊情况时，任何一方需变更本合同的，要求变更一方应及时书面通知对方，征得对方同意后，双方在规定的时限内（书面通知发出10个工作日内）签订书面变更协议，该协议将成为合同不可分割的部分。未经双方签署书面文件，任何一方无权变更本合同，否则，由此造成对方的经济损失，由责任方承担。</w:t>
      </w:r>
    </w:p>
    <w:p w14:paraId="578966B9">
      <w:pPr>
        <w:spacing w:line="384" w:lineRule="auto"/>
        <w:ind w:firstLine="480" w:firstLineChars="200"/>
        <w:rPr>
          <w:rFonts w:hint="eastAsia" w:ascii="宋体" w:hAnsi="宋体" w:cs="宋体"/>
          <w:sz w:val="24"/>
          <w:szCs w:val="24"/>
        </w:rPr>
      </w:pPr>
      <w:r>
        <w:rPr>
          <w:rFonts w:hint="eastAsia" w:ascii="宋体" w:hAnsi="宋体" w:cs="宋体"/>
          <w:sz w:val="24"/>
          <w:szCs w:val="24"/>
        </w:rPr>
        <w:t>2.除本合同第十一条约定的情形外，合同期间，乙方有下列违约行为之一者，视为严重违约行为，甲方有权即时解除合同，且乙方除应向甲方支付相当于合同费用总金额20%的违约金外，还应赔偿甲方相关损失：</w:t>
      </w:r>
    </w:p>
    <w:p w14:paraId="0FB8B825">
      <w:pPr>
        <w:spacing w:line="384" w:lineRule="auto"/>
        <w:ind w:left="560"/>
        <w:rPr>
          <w:rFonts w:hint="eastAsia" w:ascii="宋体" w:hAnsi="宋体" w:cs="宋体"/>
          <w:sz w:val="24"/>
          <w:szCs w:val="24"/>
        </w:rPr>
      </w:pPr>
      <w:r>
        <w:rPr>
          <w:rFonts w:hint="eastAsia" w:ascii="宋体" w:hAnsi="宋体" w:cs="宋体"/>
          <w:sz w:val="24"/>
          <w:szCs w:val="24"/>
        </w:rPr>
        <w:t>（1）乙方及乙方工作人员有违反知识产权条款之行为的。</w:t>
      </w:r>
    </w:p>
    <w:p w14:paraId="11B5EBCF">
      <w:pPr>
        <w:spacing w:line="384" w:lineRule="auto"/>
        <w:ind w:firstLine="480" w:firstLineChars="200"/>
        <w:rPr>
          <w:rFonts w:hint="eastAsia" w:ascii="宋体" w:hAnsi="宋体" w:cs="宋体"/>
          <w:sz w:val="24"/>
          <w:szCs w:val="24"/>
        </w:rPr>
      </w:pPr>
      <w:r>
        <w:rPr>
          <w:rFonts w:hint="eastAsia" w:ascii="宋体" w:hAnsi="宋体" w:cs="宋体"/>
          <w:sz w:val="24"/>
          <w:szCs w:val="24"/>
        </w:rPr>
        <w:t>（2）乙方有其他导致甲方企业形象或品牌形象受到损害的严重违约行为的。</w:t>
      </w:r>
    </w:p>
    <w:p w14:paraId="705633CF">
      <w:pPr>
        <w:spacing w:line="384" w:lineRule="auto"/>
        <w:ind w:firstLine="480" w:firstLineChars="200"/>
        <w:rPr>
          <w:rFonts w:hint="eastAsia" w:ascii="宋体" w:hAnsi="宋体" w:cs="宋体"/>
          <w:sz w:val="24"/>
          <w:szCs w:val="24"/>
        </w:rPr>
      </w:pPr>
      <w:r>
        <w:rPr>
          <w:rFonts w:hint="eastAsia" w:ascii="宋体" w:hAnsi="宋体" w:cs="宋体"/>
          <w:sz w:val="24"/>
          <w:szCs w:val="24"/>
        </w:rPr>
        <w:t>（3）拒不接受甲方的整改通知的。</w:t>
      </w:r>
    </w:p>
    <w:p w14:paraId="5DB8984F">
      <w:pPr>
        <w:spacing w:line="384" w:lineRule="auto"/>
        <w:ind w:firstLine="480" w:firstLineChars="200"/>
        <w:rPr>
          <w:rFonts w:hint="eastAsia" w:ascii="宋体" w:hAnsi="宋体" w:cs="宋体"/>
          <w:sz w:val="24"/>
          <w:szCs w:val="24"/>
        </w:rPr>
      </w:pPr>
      <w:r>
        <w:rPr>
          <w:rFonts w:hint="eastAsia" w:ascii="宋体" w:hAnsi="宋体" w:cs="宋体"/>
          <w:sz w:val="24"/>
          <w:szCs w:val="24"/>
        </w:rPr>
        <w:t>3.签订合同后，甲方明确表示不履行合同或者不能履行合同的，乙方有权解除本合同，并要求甲方赔偿相关损失。</w:t>
      </w:r>
    </w:p>
    <w:p w14:paraId="0D385BFB">
      <w:pPr>
        <w:spacing w:line="384" w:lineRule="auto"/>
        <w:ind w:firstLine="480" w:firstLineChars="200"/>
        <w:rPr>
          <w:rFonts w:hint="eastAsia" w:ascii="宋体" w:hAnsi="宋体" w:cs="宋体"/>
          <w:sz w:val="24"/>
          <w:szCs w:val="24"/>
        </w:rPr>
      </w:pPr>
      <w:r>
        <w:rPr>
          <w:rFonts w:hint="eastAsia" w:ascii="宋体" w:hAnsi="宋体" w:cs="宋体"/>
          <w:sz w:val="24"/>
          <w:szCs w:val="24"/>
        </w:rPr>
        <w:t>4.合同的解除不影响争议解决、违约责任等条款的效力。</w:t>
      </w:r>
    </w:p>
    <w:p w14:paraId="06DE6446">
      <w:pPr>
        <w:pStyle w:val="2"/>
        <w:spacing w:line="384" w:lineRule="auto"/>
        <w:ind w:firstLine="482" w:firstLineChars="200"/>
        <w:rPr>
          <w:rFonts w:hint="eastAsia" w:cs="宋体"/>
          <w:sz w:val="24"/>
          <w:szCs w:val="24"/>
        </w:rPr>
      </w:pPr>
      <w:bookmarkStart w:id="17" w:name="_Toc516238999"/>
      <w:r>
        <w:rPr>
          <w:rFonts w:hint="eastAsia" w:cs="宋体"/>
          <w:sz w:val="24"/>
          <w:szCs w:val="24"/>
        </w:rPr>
        <w:t>十四.合同生效及其它约定事项</w:t>
      </w:r>
      <w:bookmarkEnd w:id="17"/>
    </w:p>
    <w:p w14:paraId="4F723959">
      <w:pPr>
        <w:spacing w:line="384" w:lineRule="auto"/>
        <w:ind w:firstLine="480" w:firstLineChars="200"/>
        <w:rPr>
          <w:rFonts w:hint="eastAsia" w:ascii="宋体" w:hAnsi="宋体" w:cs="宋体"/>
          <w:sz w:val="24"/>
          <w:szCs w:val="24"/>
        </w:rPr>
      </w:pPr>
      <w:r>
        <w:rPr>
          <w:rFonts w:hint="eastAsia" w:ascii="宋体" w:hAnsi="宋体" w:cs="宋体"/>
          <w:sz w:val="24"/>
          <w:szCs w:val="24"/>
        </w:rPr>
        <w:t>1.本合同自甲乙双方签字盖章之日起生效，合同一式十份，甲方执五份，乙方执五份，均具有同等法律效力。</w:t>
      </w:r>
    </w:p>
    <w:p w14:paraId="6B326943">
      <w:pPr>
        <w:spacing w:line="384" w:lineRule="auto"/>
        <w:ind w:firstLine="480" w:firstLineChars="200"/>
        <w:rPr>
          <w:rFonts w:hint="eastAsia" w:ascii="宋体" w:hAnsi="宋体" w:cs="宋体"/>
          <w:sz w:val="28"/>
          <w:szCs w:val="28"/>
        </w:rPr>
      </w:pPr>
      <w:r>
        <w:rPr>
          <w:rFonts w:hint="eastAsia" w:ascii="宋体" w:hAnsi="宋体" w:cs="宋体"/>
          <w:sz w:val="24"/>
          <w:szCs w:val="24"/>
        </w:rPr>
        <w:t>2.如有未尽事宜，合同双方可在附件中说明。本合同中的附件以及本项目的招、投标文件、会议纪要等均为本合同不可分割的部分，与本合同具有相同的法律效力。若附件内容与本合同正文内容发生冲突的，以本合同正文内容为准。</w:t>
      </w:r>
    </w:p>
    <w:tbl>
      <w:tblPr>
        <w:tblStyle w:val="17"/>
        <w:tblW w:w="0" w:type="auto"/>
        <w:tblInd w:w="0" w:type="dxa"/>
        <w:tblLayout w:type="fixed"/>
        <w:tblCellMar>
          <w:top w:w="0" w:type="dxa"/>
          <w:left w:w="108" w:type="dxa"/>
          <w:bottom w:w="0" w:type="dxa"/>
          <w:right w:w="108" w:type="dxa"/>
        </w:tblCellMar>
      </w:tblPr>
      <w:tblGrid>
        <w:gridCol w:w="1526"/>
        <w:gridCol w:w="3094"/>
        <w:gridCol w:w="1584"/>
        <w:gridCol w:w="3038"/>
      </w:tblGrid>
      <w:tr w14:paraId="3E0E8A89">
        <w:tblPrEx>
          <w:tblCellMar>
            <w:top w:w="0" w:type="dxa"/>
            <w:left w:w="108" w:type="dxa"/>
            <w:bottom w:w="0" w:type="dxa"/>
            <w:right w:w="108" w:type="dxa"/>
          </w:tblCellMar>
        </w:tblPrEx>
        <w:trPr>
          <w:trHeight w:val="1191" w:hRule="atLeast"/>
        </w:trPr>
        <w:tc>
          <w:tcPr>
            <w:tcW w:w="1526" w:type="dxa"/>
            <w:noWrap w:val="0"/>
            <w:vAlign w:val="top"/>
          </w:tcPr>
          <w:p w14:paraId="1BEACCB0">
            <w:pPr>
              <w:spacing w:line="360" w:lineRule="auto"/>
              <w:jc w:val="distribute"/>
              <w:rPr>
                <w:rFonts w:hint="eastAsia" w:ascii="宋体" w:hAnsi="宋体" w:cs="宋体"/>
                <w:sz w:val="28"/>
                <w:szCs w:val="28"/>
              </w:rPr>
            </w:pPr>
            <w:r>
              <w:rPr>
                <w:rFonts w:hint="eastAsia" w:ascii="宋体" w:hAnsi="宋体" w:cs="宋体"/>
                <w:bCs/>
                <w:sz w:val="28"/>
                <w:szCs w:val="28"/>
              </w:rPr>
              <w:t>甲方：</w:t>
            </w:r>
          </w:p>
        </w:tc>
        <w:tc>
          <w:tcPr>
            <w:tcW w:w="3094" w:type="dxa"/>
            <w:noWrap w:val="0"/>
            <w:vAlign w:val="top"/>
          </w:tcPr>
          <w:p w14:paraId="1F8658CF">
            <w:pPr>
              <w:spacing w:line="360" w:lineRule="auto"/>
              <w:rPr>
                <w:rFonts w:hint="eastAsia" w:ascii="宋体" w:hAnsi="宋体" w:cs="宋体"/>
                <w:sz w:val="28"/>
                <w:szCs w:val="28"/>
              </w:rPr>
            </w:pPr>
          </w:p>
        </w:tc>
        <w:tc>
          <w:tcPr>
            <w:tcW w:w="1584" w:type="dxa"/>
            <w:noWrap w:val="0"/>
            <w:vAlign w:val="top"/>
          </w:tcPr>
          <w:p w14:paraId="03DAC8A6">
            <w:pPr>
              <w:spacing w:line="360" w:lineRule="auto"/>
              <w:jc w:val="distribute"/>
              <w:rPr>
                <w:rFonts w:hint="eastAsia" w:ascii="宋体" w:hAnsi="宋体" w:cs="宋体"/>
                <w:sz w:val="28"/>
                <w:szCs w:val="28"/>
              </w:rPr>
            </w:pPr>
            <w:r>
              <w:rPr>
                <w:rFonts w:hint="eastAsia" w:ascii="宋体" w:hAnsi="宋体" w:cs="宋体"/>
                <w:bCs/>
                <w:sz w:val="28"/>
                <w:szCs w:val="28"/>
              </w:rPr>
              <w:t>乙方：</w:t>
            </w:r>
          </w:p>
        </w:tc>
        <w:tc>
          <w:tcPr>
            <w:tcW w:w="3038" w:type="dxa"/>
            <w:noWrap w:val="0"/>
            <w:vAlign w:val="top"/>
          </w:tcPr>
          <w:p w14:paraId="520830E8">
            <w:pPr>
              <w:spacing w:line="360" w:lineRule="auto"/>
              <w:rPr>
                <w:rFonts w:hint="eastAsia" w:ascii="宋体" w:hAnsi="宋体" w:cs="宋体"/>
                <w:sz w:val="28"/>
                <w:szCs w:val="28"/>
                <w:u w:val="single"/>
              </w:rPr>
            </w:pPr>
          </w:p>
        </w:tc>
      </w:tr>
    </w:tbl>
    <w:p w14:paraId="1F5CC070">
      <w:pPr>
        <w:spacing w:line="360" w:lineRule="auto"/>
        <w:ind w:left="1260" w:leftChars="600" w:firstLine="5180" w:firstLineChars="1850"/>
        <w:rPr>
          <w:rFonts w:hint="eastAsia" w:ascii="宋体" w:hAnsi="宋体" w:cs="宋体"/>
          <w:sz w:val="28"/>
          <w:szCs w:val="28"/>
        </w:rPr>
      </w:pPr>
    </w:p>
    <w:p w14:paraId="76B0E05F">
      <w:pPr>
        <w:spacing w:line="360" w:lineRule="auto"/>
        <w:rPr>
          <w:rFonts w:hint="eastAsia" w:ascii="宋体" w:hAnsi="宋体" w:cs="宋体"/>
          <w:bCs/>
          <w:sz w:val="28"/>
          <w:szCs w:val="28"/>
        </w:rPr>
      </w:pPr>
      <w:r>
        <w:rPr>
          <w:rFonts w:hint="eastAsia" w:ascii="宋体" w:hAnsi="宋体" w:cs="宋体"/>
          <w:bCs/>
          <w:sz w:val="28"/>
          <w:szCs w:val="28"/>
        </w:rPr>
        <w:t>代表签字：                                 代表签字：</w:t>
      </w:r>
    </w:p>
    <w:p w14:paraId="22FC20F5">
      <w:pPr>
        <w:spacing w:line="360" w:lineRule="auto"/>
        <w:ind w:left="-540" w:leftChars="-257" w:firstLine="540"/>
        <w:rPr>
          <w:rFonts w:hint="eastAsia" w:ascii="宋体" w:hAnsi="宋体" w:cs="宋体"/>
          <w:bCs/>
          <w:sz w:val="28"/>
          <w:szCs w:val="28"/>
        </w:rPr>
      </w:pPr>
      <w:r>
        <w:rPr>
          <w:rFonts w:hint="eastAsia" w:ascii="宋体" w:hAnsi="宋体" w:cs="宋体"/>
          <w:bCs/>
          <w:sz w:val="28"/>
          <w:szCs w:val="28"/>
        </w:rPr>
        <w:t>日    期：                                 日   期：</w:t>
      </w:r>
    </w:p>
    <w:p w14:paraId="034E816E">
      <w:pPr>
        <w:pStyle w:val="8"/>
        <w:jc w:val="left"/>
        <w:rPr>
          <w:rFonts w:hint="eastAsia" w:ascii="宋体" w:hAnsi="宋体" w:cs="宋体"/>
          <w:bCs/>
          <w:sz w:val="28"/>
          <w:szCs w:val="28"/>
        </w:rPr>
      </w:pPr>
    </w:p>
    <w:p w14:paraId="74669DC3">
      <w:pPr>
        <w:pStyle w:val="2"/>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18" w:name="_Toc517717029"/>
      <w:r>
        <w:rPr>
          <w:rFonts w:hint="eastAsia"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第六章   投标文件格式</w:t>
      </w:r>
      <w:bookmarkEnd w:id="18"/>
    </w:p>
    <w:p w14:paraId="59FD323A">
      <w:pPr>
        <w:spacing w:beforeLines="50" w:afterLines="50"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一、法人代表委托书原件及被授权人身份证复印件</w:t>
      </w:r>
    </w:p>
    <w:p w14:paraId="4174C77D">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lang w:eastAsia="zh-CN"/>
          <w14:textFill>
            <w14:solidFill>
              <w14:schemeClr w14:val="tx1"/>
            </w14:solidFill>
          </w14:textFill>
        </w:rPr>
        <w:t>南通市总工会</w:t>
      </w:r>
      <w:r>
        <w:rPr>
          <w:rFonts w:hint="eastAsia" w:asciiTheme="minorEastAsia" w:hAnsiTheme="minorEastAsia"/>
          <w:color w:val="000000" w:themeColor="text1"/>
          <w:sz w:val="24"/>
          <w:szCs w:val="24"/>
          <w14:textFill>
            <w14:solidFill>
              <w14:schemeClr w14:val="tx1"/>
            </w14:solidFill>
          </w14:textFill>
        </w:rPr>
        <w:t>：</w:t>
      </w:r>
    </w:p>
    <w:p w14:paraId="33DFE8FD">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兹授权</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zh-CN"/>
          <w14:textFill>
            <w14:solidFill>
              <w14:schemeClr w14:val="tx1"/>
            </w14:solidFill>
          </w14:textFill>
        </w:rPr>
        <w:t>（</w:t>
      </w:r>
      <w:r>
        <w:rPr>
          <w:rFonts w:hint="eastAsia" w:asciiTheme="minorEastAsia" w:hAnsiTheme="minorEastAsia"/>
          <w:color w:val="000000" w:themeColor="text1"/>
          <w:sz w:val="24"/>
          <w:szCs w:val="24"/>
          <w:lang w:val="zh-CN"/>
          <w14:textFill>
            <w14:solidFill>
              <w14:schemeClr w14:val="tx1"/>
            </w14:solidFill>
          </w14:textFill>
        </w:rPr>
        <w:t>被授权人的姓名）代表我公司参加</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项目的政府采购活动，全权处理一切与该项目投标有关的事务。其在办理上述事宜过程中所签署的所有文件我公司均予以承认。</w:t>
      </w:r>
    </w:p>
    <w:p w14:paraId="1E9E1ED1">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附：被授权人情况：</w:t>
      </w:r>
    </w:p>
    <w:p w14:paraId="1E6775DC">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姓名： 性别： 年龄： 职务：</w:t>
      </w:r>
    </w:p>
    <w:p w14:paraId="6F33B389">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身份证号码：</w:t>
      </w:r>
    </w:p>
    <w:p w14:paraId="1FD638CB">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手机： 传真：</w:t>
      </w:r>
    </w:p>
    <w:p w14:paraId="7CFEA10A">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单位名称（公章）   法定代表人（签字）</w:t>
      </w:r>
    </w:p>
    <w:p w14:paraId="4FDBFA91">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年月日</w:t>
      </w:r>
    </w:p>
    <w:p w14:paraId="053C2193">
      <w:pPr>
        <w:spacing w:line="360" w:lineRule="auto"/>
        <w:rPr>
          <w:rFonts w:asciiTheme="minorEastAsia" w:hAnsiTheme="minorEastAsia"/>
          <w:color w:val="000000" w:themeColor="text1"/>
          <w:sz w:val="24"/>
          <w:szCs w:val="24"/>
          <w:lang w:val="zh-CN"/>
          <w14:textFill>
            <w14:solidFill>
              <w14:schemeClr w14:val="tx1"/>
            </w14:solidFill>
          </w14:textFill>
        </w:rPr>
      </w:pPr>
    </w:p>
    <w:p w14:paraId="5C90D5CA">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被授权人身份证复印件</w:t>
      </w:r>
    </w:p>
    <w:p w14:paraId="088257D7">
      <w:pPr>
        <w:spacing w:line="360" w:lineRule="auto"/>
        <w:rPr>
          <w:rFonts w:asciiTheme="minorEastAsia" w:hAnsiTheme="minorEastAsia"/>
          <w:color w:val="000000" w:themeColor="text1"/>
          <w:sz w:val="24"/>
          <w:szCs w:val="24"/>
          <w:lang w:val="zh-CN"/>
          <w14:textFill>
            <w14:solidFill>
              <w14:schemeClr w14:val="tx1"/>
            </w14:solidFill>
          </w14:textFill>
        </w:rPr>
      </w:pPr>
    </w:p>
    <w:p w14:paraId="34768A9B">
      <w:pPr>
        <w:spacing w:line="360" w:lineRule="auto"/>
        <w:rPr>
          <w:rFonts w:asciiTheme="minorEastAsia" w:hAnsiTheme="minorEastAsia"/>
          <w:color w:val="000000" w:themeColor="text1"/>
          <w:sz w:val="24"/>
          <w:szCs w:val="24"/>
          <w:lang w:val="zh-CN"/>
          <w14:textFill>
            <w14:solidFill>
              <w14:schemeClr w14:val="tx1"/>
            </w14:solidFill>
          </w14:textFill>
        </w:rPr>
      </w:pPr>
    </w:p>
    <w:p w14:paraId="4DA47118">
      <w:pPr>
        <w:spacing w:line="360" w:lineRule="auto"/>
        <w:rPr>
          <w:rFonts w:asciiTheme="minorEastAsia" w:hAnsiTheme="minorEastAsia"/>
          <w:color w:val="000000" w:themeColor="text1"/>
          <w:sz w:val="24"/>
          <w:szCs w:val="24"/>
          <w:lang w:val="zh-CN"/>
          <w14:textFill>
            <w14:solidFill>
              <w14:schemeClr w14:val="tx1"/>
            </w14:solidFill>
          </w14:textFill>
        </w:rPr>
      </w:pPr>
    </w:p>
    <w:p w14:paraId="52CF7982">
      <w:pPr>
        <w:spacing w:line="360" w:lineRule="auto"/>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法定代表人身份证复印件</w:t>
      </w:r>
    </w:p>
    <w:p w14:paraId="52E40E87">
      <w:pPr>
        <w:spacing w:line="360" w:lineRule="auto"/>
        <w:rPr>
          <w:rFonts w:asciiTheme="minorEastAsia" w:hAnsiTheme="minorEastAsia"/>
          <w:color w:val="000000" w:themeColor="text1"/>
          <w:sz w:val="24"/>
          <w:szCs w:val="24"/>
          <w14:textFill>
            <w14:solidFill>
              <w14:schemeClr w14:val="tx1"/>
            </w14:solidFill>
          </w14:textFill>
        </w:rPr>
      </w:pPr>
    </w:p>
    <w:p w14:paraId="28EA92DA">
      <w:pPr>
        <w:spacing w:line="360" w:lineRule="auto"/>
        <w:ind w:firstLine="480" w:firstLineChars="200"/>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br w:type="page"/>
      </w:r>
    </w:p>
    <w:p w14:paraId="45B45B96">
      <w:pPr>
        <w:spacing w:line="360" w:lineRule="auto"/>
        <w:rPr>
          <w:rFonts w:asciiTheme="minorEastAsia" w:hAnsiTheme="minorEastAsia"/>
          <w:color w:val="000000" w:themeColor="text1"/>
          <w:sz w:val="24"/>
          <w:szCs w:val="24"/>
          <w14:textFill>
            <w14:solidFill>
              <w14:schemeClr w14:val="tx1"/>
            </w14:solidFill>
          </w14:textFill>
        </w:rPr>
      </w:pPr>
    </w:p>
    <w:p w14:paraId="5DE14089">
      <w:pPr>
        <w:spacing w:line="360" w:lineRule="auto"/>
        <w:ind w:firstLine="480" w:firstLineChars="200"/>
        <w:jc w:val="center"/>
        <w:rPr>
          <w:rFonts w:asciiTheme="minorEastAsia" w:hAnsiTheme="minorEastAsia"/>
          <w:color w:val="000000" w:themeColor="text1"/>
          <w:sz w:val="24"/>
          <w:szCs w:val="24"/>
          <w14:textFill>
            <w14:solidFill>
              <w14:schemeClr w14:val="tx1"/>
            </w14:solidFill>
          </w14:textFill>
        </w:rPr>
      </w:pPr>
    </w:p>
    <w:p w14:paraId="180BB337">
      <w:pPr>
        <w:spacing w:line="360" w:lineRule="auto"/>
        <w:ind w:firstLine="602" w:firstLineChars="200"/>
        <w:jc w:val="center"/>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30"/>
          <w:szCs w:val="30"/>
          <w:lang w:val="zh-CN"/>
          <w14:textFill>
            <w14:solidFill>
              <w14:schemeClr w14:val="tx1"/>
            </w14:solidFill>
          </w14:textFill>
        </w:rPr>
        <w:t>二、无重大违法记录声明</w:t>
      </w:r>
    </w:p>
    <w:p w14:paraId="3E4FB9FF">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p>
    <w:p w14:paraId="0689E097">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p>
    <w:p w14:paraId="61470D15">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南通建辰工程咨询有限公司：</w:t>
      </w:r>
    </w:p>
    <w:p w14:paraId="4251809E">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我单位</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（供应商名称）郑重声明：</w:t>
      </w:r>
    </w:p>
    <w:p w14:paraId="7F5E486D">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参加政府采购活动前3年内在经营活动中 </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（在下划线上如实填写：有或没有）重大违法记录。</w:t>
      </w:r>
    </w:p>
    <w:p w14:paraId="40768642">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0F63B96B">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声明人：（公章）</w:t>
      </w:r>
    </w:p>
    <w:p w14:paraId="294A2D89">
      <w:pPr>
        <w:spacing w:line="360" w:lineRule="auto"/>
        <w:ind w:firstLine="480" w:firstLineChars="200"/>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年     月    日</w:t>
      </w:r>
    </w:p>
    <w:p w14:paraId="15E2499D">
      <w:pPr>
        <w:widowControl/>
        <w:jc w:val="left"/>
        <w:rPr>
          <w:rFonts w:asciiTheme="minorEastAsia" w:hAnsiTheme="minorEastAsia"/>
          <w:color w:val="000000" w:themeColor="text1"/>
          <w:sz w:val="24"/>
          <w:szCs w:val="24"/>
          <w14:textFill>
            <w14:solidFill>
              <w14:schemeClr w14:val="tx1"/>
            </w14:solidFill>
          </w14:textFill>
        </w:rPr>
      </w:pPr>
    </w:p>
    <w:p w14:paraId="0D3F9924">
      <w:pPr>
        <w:widowControl/>
        <w:jc w:val="left"/>
        <w:rPr>
          <w:rFonts w:asciiTheme="minorEastAsia" w:hAnsiTheme="minorEastAsia"/>
          <w:color w:val="000000" w:themeColor="text1"/>
          <w:sz w:val="24"/>
          <w:szCs w:val="24"/>
          <w14:textFill>
            <w14:solidFill>
              <w14:schemeClr w14:val="tx1"/>
            </w14:solidFill>
          </w14:textFill>
        </w:rPr>
      </w:pPr>
    </w:p>
    <w:p w14:paraId="7FE5EF9C">
      <w:pPr>
        <w:widowControl/>
        <w:jc w:val="left"/>
        <w:rPr>
          <w:rFonts w:asciiTheme="minorEastAsia" w:hAnsiTheme="minorEastAsia"/>
          <w:color w:val="000000" w:themeColor="text1"/>
          <w:sz w:val="24"/>
          <w:szCs w:val="24"/>
          <w14:textFill>
            <w14:solidFill>
              <w14:schemeClr w14:val="tx1"/>
            </w14:solidFill>
          </w14:textFill>
        </w:rPr>
      </w:pPr>
    </w:p>
    <w:p w14:paraId="266EF540">
      <w:pPr>
        <w:widowControl/>
        <w:jc w:val="left"/>
        <w:rPr>
          <w:rFonts w:asciiTheme="minorEastAsia" w:hAnsiTheme="minorEastAsia"/>
          <w:color w:val="000000" w:themeColor="text1"/>
          <w:sz w:val="24"/>
          <w:szCs w:val="24"/>
          <w14:textFill>
            <w14:solidFill>
              <w14:schemeClr w14:val="tx1"/>
            </w14:solidFill>
          </w14:textFill>
        </w:rPr>
      </w:pPr>
    </w:p>
    <w:p w14:paraId="20194FC9">
      <w:pPr>
        <w:widowControl/>
        <w:jc w:val="left"/>
        <w:rPr>
          <w:rFonts w:asciiTheme="minorEastAsia" w:hAnsiTheme="minorEastAsia"/>
          <w:color w:val="000000" w:themeColor="text1"/>
          <w:sz w:val="24"/>
          <w:szCs w:val="24"/>
          <w14:textFill>
            <w14:solidFill>
              <w14:schemeClr w14:val="tx1"/>
            </w14:solidFill>
          </w14:textFill>
        </w:rPr>
      </w:pPr>
    </w:p>
    <w:p w14:paraId="5E0D10A5">
      <w:pPr>
        <w:widowControl/>
        <w:jc w:val="left"/>
        <w:rPr>
          <w:rFonts w:asciiTheme="minorEastAsia" w:hAnsiTheme="minorEastAsia"/>
          <w:color w:val="000000" w:themeColor="text1"/>
          <w:sz w:val="24"/>
          <w:szCs w:val="24"/>
          <w14:textFill>
            <w14:solidFill>
              <w14:schemeClr w14:val="tx1"/>
            </w14:solidFill>
          </w14:textFill>
        </w:rPr>
      </w:pPr>
    </w:p>
    <w:p w14:paraId="7E361634">
      <w:pPr>
        <w:widowControl/>
        <w:jc w:val="left"/>
        <w:rPr>
          <w:rFonts w:asciiTheme="minorEastAsia" w:hAnsiTheme="minorEastAsia"/>
          <w:color w:val="000000" w:themeColor="text1"/>
          <w:sz w:val="24"/>
          <w:szCs w:val="24"/>
          <w14:textFill>
            <w14:solidFill>
              <w14:schemeClr w14:val="tx1"/>
            </w14:solidFill>
          </w14:textFill>
        </w:rPr>
      </w:pPr>
    </w:p>
    <w:p w14:paraId="3826853B">
      <w:pPr>
        <w:widowControl/>
        <w:jc w:val="left"/>
        <w:rPr>
          <w:rFonts w:asciiTheme="minorEastAsia" w:hAnsiTheme="minorEastAsia"/>
          <w:color w:val="000000" w:themeColor="text1"/>
          <w:sz w:val="24"/>
          <w:szCs w:val="24"/>
          <w14:textFill>
            <w14:solidFill>
              <w14:schemeClr w14:val="tx1"/>
            </w14:solidFill>
          </w14:textFill>
        </w:rPr>
      </w:pPr>
    </w:p>
    <w:p w14:paraId="7DB96524">
      <w:pPr>
        <w:widowControl/>
        <w:jc w:val="left"/>
        <w:rPr>
          <w:rFonts w:asciiTheme="minorEastAsia" w:hAnsiTheme="minorEastAsia"/>
          <w:color w:val="000000" w:themeColor="text1"/>
          <w:sz w:val="24"/>
          <w:szCs w:val="24"/>
          <w14:textFill>
            <w14:solidFill>
              <w14:schemeClr w14:val="tx1"/>
            </w14:solidFill>
          </w14:textFill>
        </w:rPr>
      </w:pPr>
    </w:p>
    <w:p w14:paraId="7DEF28CF">
      <w:pPr>
        <w:widowControl/>
        <w:jc w:val="left"/>
        <w:rPr>
          <w:rFonts w:asciiTheme="minorEastAsia" w:hAnsiTheme="minorEastAsia"/>
          <w:color w:val="000000" w:themeColor="text1"/>
          <w:sz w:val="24"/>
          <w:szCs w:val="24"/>
          <w14:textFill>
            <w14:solidFill>
              <w14:schemeClr w14:val="tx1"/>
            </w14:solidFill>
          </w14:textFill>
        </w:rPr>
      </w:pPr>
    </w:p>
    <w:p w14:paraId="6FCC0A6A">
      <w:pPr>
        <w:widowControl/>
        <w:jc w:val="left"/>
        <w:rPr>
          <w:rFonts w:asciiTheme="minorEastAsia" w:hAnsiTheme="minorEastAsia"/>
          <w:color w:val="000000" w:themeColor="text1"/>
          <w:sz w:val="24"/>
          <w:szCs w:val="24"/>
          <w14:textFill>
            <w14:solidFill>
              <w14:schemeClr w14:val="tx1"/>
            </w14:solidFill>
          </w14:textFill>
        </w:rPr>
      </w:pPr>
    </w:p>
    <w:p w14:paraId="1A5C76DB">
      <w:pPr>
        <w:widowControl/>
        <w:jc w:val="left"/>
        <w:rPr>
          <w:rFonts w:asciiTheme="minorEastAsia" w:hAnsiTheme="minorEastAsia"/>
          <w:color w:val="000000" w:themeColor="text1"/>
          <w:sz w:val="24"/>
          <w:szCs w:val="24"/>
          <w14:textFill>
            <w14:solidFill>
              <w14:schemeClr w14:val="tx1"/>
            </w14:solidFill>
          </w14:textFill>
        </w:rPr>
      </w:pPr>
    </w:p>
    <w:p w14:paraId="4CB54A21">
      <w:pPr>
        <w:widowControl/>
        <w:jc w:val="left"/>
        <w:rPr>
          <w:rFonts w:asciiTheme="minorEastAsia" w:hAnsiTheme="minorEastAsia"/>
          <w:color w:val="000000" w:themeColor="text1"/>
          <w:sz w:val="24"/>
          <w:szCs w:val="24"/>
          <w14:textFill>
            <w14:solidFill>
              <w14:schemeClr w14:val="tx1"/>
            </w14:solidFill>
          </w14:textFill>
        </w:rPr>
      </w:pPr>
    </w:p>
    <w:p w14:paraId="533C2126">
      <w:pPr>
        <w:widowControl/>
        <w:jc w:val="left"/>
        <w:rPr>
          <w:rFonts w:asciiTheme="minorEastAsia" w:hAnsiTheme="minorEastAsia"/>
          <w:color w:val="000000" w:themeColor="text1"/>
          <w:sz w:val="24"/>
          <w:szCs w:val="24"/>
          <w14:textFill>
            <w14:solidFill>
              <w14:schemeClr w14:val="tx1"/>
            </w14:solidFill>
          </w14:textFill>
        </w:rPr>
      </w:pPr>
    </w:p>
    <w:p w14:paraId="40D52D76">
      <w:pPr>
        <w:widowControl/>
        <w:jc w:val="left"/>
        <w:rPr>
          <w:rFonts w:asciiTheme="minorEastAsia" w:hAnsiTheme="minorEastAsia"/>
          <w:color w:val="000000" w:themeColor="text1"/>
          <w:sz w:val="24"/>
          <w:szCs w:val="24"/>
          <w14:textFill>
            <w14:solidFill>
              <w14:schemeClr w14:val="tx1"/>
            </w14:solidFill>
          </w14:textFill>
        </w:rPr>
      </w:pPr>
    </w:p>
    <w:p w14:paraId="004D9D2A">
      <w:pPr>
        <w:widowControl/>
        <w:jc w:val="left"/>
        <w:rPr>
          <w:rFonts w:asciiTheme="minorEastAsia" w:hAnsiTheme="minorEastAsia"/>
          <w:color w:val="000000" w:themeColor="text1"/>
          <w:sz w:val="24"/>
          <w:szCs w:val="24"/>
          <w14:textFill>
            <w14:solidFill>
              <w14:schemeClr w14:val="tx1"/>
            </w14:solidFill>
          </w14:textFill>
        </w:rPr>
      </w:pPr>
    </w:p>
    <w:p w14:paraId="4D607C1C">
      <w:pPr>
        <w:widowControl/>
        <w:jc w:val="left"/>
        <w:rPr>
          <w:rFonts w:asciiTheme="minorEastAsia" w:hAnsiTheme="minorEastAsia"/>
          <w:color w:val="000000" w:themeColor="text1"/>
          <w:sz w:val="24"/>
          <w:szCs w:val="24"/>
          <w14:textFill>
            <w14:solidFill>
              <w14:schemeClr w14:val="tx1"/>
            </w14:solidFill>
          </w14:textFill>
        </w:rPr>
      </w:pPr>
    </w:p>
    <w:p w14:paraId="3AA43AC7">
      <w:pPr>
        <w:widowControl/>
        <w:jc w:val="left"/>
        <w:rPr>
          <w:rFonts w:asciiTheme="minorEastAsia" w:hAnsiTheme="minorEastAsia"/>
          <w:color w:val="000000" w:themeColor="text1"/>
          <w:sz w:val="24"/>
          <w:szCs w:val="24"/>
          <w14:textFill>
            <w14:solidFill>
              <w14:schemeClr w14:val="tx1"/>
            </w14:solidFill>
          </w14:textFill>
        </w:rPr>
      </w:pPr>
    </w:p>
    <w:p w14:paraId="541C3400">
      <w:pPr>
        <w:widowControl/>
        <w:jc w:val="left"/>
        <w:rPr>
          <w:rFonts w:asciiTheme="minorEastAsia" w:hAnsiTheme="minorEastAsia"/>
          <w:color w:val="000000" w:themeColor="text1"/>
          <w:sz w:val="24"/>
          <w:szCs w:val="24"/>
          <w14:textFill>
            <w14:solidFill>
              <w14:schemeClr w14:val="tx1"/>
            </w14:solidFill>
          </w14:textFill>
        </w:rPr>
      </w:pPr>
    </w:p>
    <w:p w14:paraId="379D2AD4">
      <w:pPr>
        <w:widowControl/>
        <w:jc w:val="left"/>
        <w:rPr>
          <w:rFonts w:asciiTheme="minorEastAsia" w:hAnsiTheme="minorEastAsia"/>
          <w:color w:val="000000" w:themeColor="text1"/>
          <w:sz w:val="24"/>
          <w:szCs w:val="24"/>
          <w14:textFill>
            <w14:solidFill>
              <w14:schemeClr w14:val="tx1"/>
            </w14:solidFill>
          </w14:textFill>
        </w:rPr>
      </w:pPr>
    </w:p>
    <w:p w14:paraId="5E59A6C8">
      <w:pPr>
        <w:widowControl/>
        <w:jc w:val="left"/>
        <w:rPr>
          <w:rFonts w:asciiTheme="minorEastAsia" w:hAnsiTheme="minorEastAsia"/>
          <w:color w:val="000000" w:themeColor="text1"/>
          <w:sz w:val="24"/>
          <w:szCs w:val="24"/>
          <w14:textFill>
            <w14:solidFill>
              <w14:schemeClr w14:val="tx1"/>
            </w14:solidFill>
          </w14:textFill>
        </w:rPr>
      </w:pPr>
    </w:p>
    <w:p w14:paraId="1853B69E">
      <w:pPr>
        <w:widowControl/>
        <w:jc w:val="left"/>
        <w:rPr>
          <w:rFonts w:asciiTheme="minorEastAsia" w:hAnsiTheme="minorEastAsia"/>
          <w:color w:val="000000" w:themeColor="text1"/>
          <w:sz w:val="24"/>
          <w:szCs w:val="24"/>
          <w14:textFill>
            <w14:solidFill>
              <w14:schemeClr w14:val="tx1"/>
            </w14:solidFill>
          </w14:textFill>
        </w:rPr>
      </w:pPr>
    </w:p>
    <w:p w14:paraId="0DC95B37">
      <w:pPr>
        <w:widowControl/>
        <w:jc w:val="left"/>
        <w:rPr>
          <w:rFonts w:asciiTheme="minorEastAsia" w:hAnsiTheme="minorEastAsia"/>
          <w:color w:val="000000" w:themeColor="text1"/>
          <w:sz w:val="24"/>
          <w:szCs w:val="24"/>
          <w14:textFill>
            <w14:solidFill>
              <w14:schemeClr w14:val="tx1"/>
            </w14:solidFill>
          </w14:textFill>
        </w:rPr>
      </w:pPr>
    </w:p>
    <w:p w14:paraId="0EE2A9FA">
      <w:pPr>
        <w:widowControl/>
        <w:jc w:val="left"/>
        <w:rPr>
          <w:rFonts w:asciiTheme="minorEastAsia" w:hAnsiTheme="minorEastAsia"/>
          <w:color w:val="000000" w:themeColor="text1"/>
          <w:sz w:val="24"/>
          <w:szCs w:val="24"/>
          <w14:textFill>
            <w14:solidFill>
              <w14:schemeClr w14:val="tx1"/>
            </w14:solidFill>
          </w14:textFill>
        </w:rPr>
      </w:pPr>
    </w:p>
    <w:p w14:paraId="0A6E2507">
      <w:pPr>
        <w:widowControl/>
        <w:jc w:val="left"/>
        <w:rPr>
          <w:rFonts w:asciiTheme="minorEastAsia" w:hAnsiTheme="minorEastAsia"/>
          <w:color w:val="000000" w:themeColor="text1"/>
          <w:sz w:val="24"/>
          <w:szCs w:val="24"/>
          <w14:textFill>
            <w14:solidFill>
              <w14:schemeClr w14:val="tx1"/>
            </w14:solidFill>
          </w14:textFill>
        </w:rPr>
      </w:pPr>
    </w:p>
    <w:p w14:paraId="4BEB3883">
      <w:pPr>
        <w:spacing w:beforeLines="50" w:afterLines="50" w:line="360" w:lineRule="auto"/>
        <w:ind w:firstLine="3373" w:firstLineChars="14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三、磋商报价表</w:t>
      </w:r>
    </w:p>
    <w:p w14:paraId="5D5D5D82">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磋商报价表</w:t>
      </w:r>
    </w:p>
    <w:tbl>
      <w:tblPr>
        <w:tblStyle w:val="17"/>
        <w:tblW w:w="93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03"/>
        <w:gridCol w:w="2548"/>
        <w:gridCol w:w="2548"/>
        <w:gridCol w:w="1118"/>
      </w:tblGrid>
      <w:tr w14:paraId="6C5A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149" w:type="dxa"/>
            <w:vAlign w:val="center"/>
          </w:tcPr>
          <w:p w14:paraId="34315BA7">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序号</w:t>
            </w:r>
          </w:p>
        </w:tc>
        <w:tc>
          <w:tcPr>
            <w:tcW w:w="2003" w:type="dxa"/>
            <w:vAlign w:val="center"/>
          </w:tcPr>
          <w:p w14:paraId="1E129902">
            <w:pPr>
              <w:spacing w:line="360" w:lineRule="auto"/>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名称</w:t>
            </w:r>
          </w:p>
        </w:tc>
        <w:tc>
          <w:tcPr>
            <w:tcW w:w="2548" w:type="dxa"/>
          </w:tcPr>
          <w:p w14:paraId="7273BACA">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数量</w:t>
            </w:r>
          </w:p>
        </w:tc>
        <w:tc>
          <w:tcPr>
            <w:tcW w:w="2548" w:type="dxa"/>
            <w:vAlign w:val="center"/>
          </w:tcPr>
          <w:p w14:paraId="0F06E533">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金额（元）</w:t>
            </w:r>
          </w:p>
        </w:tc>
        <w:tc>
          <w:tcPr>
            <w:tcW w:w="1118" w:type="dxa"/>
            <w:vAlign w:val="center"/>
          </w:tcPr>
          <w:p w14:paraId="1E89C507">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备注</w:t>
            </w:r>
          </w:p>
        </w:tc>
      </w:tr>
      <w:tr w14:paraId="43AA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149" w:type="dxa"/>
            <w:vAlign w:val="center"/>
          </w:tcPr>
          <w:p w14:paraId="4DD87FB5">
            <w:pPr>
              <w:spacing w:line="360" w:lineRule="auto"/>
              <w:rPr>
                <w:rFonts w:cs="宋体" w:asciiTheme="minorEastAsia" w:hAnsiTheme="minorEastAsia"/>
                <w:color w:val="000000" w:themeColor="text1"/>
                <w:sz w:val="24"/>
                <w:szCs w:val="24"/>
                <w14:textFill>
                  <w14:solidFill>
                    <w14:schemeClr w14:val="tx1"/>
                  </w14:solidFill>
                </w14:textFill>
              </w:rPr>
            </w:pPr>
          </w:p>
        </w:tc>
        <w:tc>
          <w:tcPr>
            <w:tcW w:w="2003" w:type="dxa"/>
            <w:vAlign w:val="center"/>
          </w:tcPr>
          <w:p w14:paraId="02B445AD">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南通市总工</w:t>
            </w:r>
            <w:r>
              <w:rPr>
                <w:rFonts w:hint="eastAsia" w:cs="宋体" w:asciiTheme="minorEastAsia" w:hAnsiTheme="minorEastAsia"/>
                <w:color w:val="000000" w:themeColor="text1"/>
                <w:sz w:val="24"/>
                <w:szCs w:val="24"/>
                <w:highlight w:val="none"/>
                <w:lang w:eastAsia="zh-CN"/>
                <w14:textFill>
                  <w14:solidFill>
                    <w14:schemeClr w14:val="tx1"/>
                  </w14:solidFill>
                </w14:textFill>
              </w:rPr>
              <w:t>会</w:t>
            </w:r>
            <w:r>
              <w:rPr>
                <w:rFonts w:hint="eastAsia" w:cs="宋体" w:asciiTheme="minorEastAsia" w:hAnsiTheme="minorEastAsia"/>
                <w:color w:val="000000" w:themeColor="text1"/>
                <w:sz w:val="24"/>
                <w:szCs w:val="24"/>
                <w:highlight w:val="none"/>
                <w:lang w:val="en-US" w:eastAsia="zh-CN"/>
                <w14:textFill>
                  <w14:solidFill>
                    <w14:schemeClr w14:val="tx1"/>
                  </w14:solidFill>
                </w14:textFill>
              </w:rPr>
              <w:t>党建阵地</w:t>
            </w:r>
            <w:r>
              <w:rPr>
                <w:rFonts w:hint="eastAsia" w:cs="宋体" w:asciiTheme="minorEastAsia" w:hAnsiTheme="minorEastAsia"/>
                <w:color w:val="000000" w:themeColor="text1"/>
                <w:sz w:val="24"/>
                <w:szCs w:val="24"/>
                <w:highlight w:val="none"/>
                <w:lang w:eastAsia="zh-CN"/>
                <w14:textFill>
                  <w14:solidFill>
                    <w14:schemeClr w14:val="tx1"/>
                  </w14:solidFill>
                </w14:textFill>
              </w:rPr>
              <w:t>设计方</w:t>
            </w:r>
            <w:r>
              <w:rPr>
                <w:rFonts w:hint="eastAsia" w:cs="宋体" w:asciiTheme="minorEastAsia" w:hAnsiTheme="minorEastAsia"/>
                <w:color w:val="000000" w:themeColor="text1"/>
                <w:sz w:val="24"/>
                <w:szCs w:val="24"/>
                <w:lang w:eastAsia="zh-CN"/>
                <w14:textFill>
                  <w14:solidFill>
                    <w14:schemeClr w14:val="tx1"/>
                  </w14:solidFill>
                </w14:textFill>
              </w:rPr>
              <w:t>案招标</w:t>
            </w:r>
            <w:r>
              <w:rPr>
                <w:rFonts w:hint="eastAsia" w:cs="宋体" w:asciiTheme="minorEastAsia" w:hAnsiTheme="minorEastAsia"/>
                <w:color w:val="000000" w:themeColor="text1"/>
                <w:sz w:val="24"/>
                <w:szCs w:val="24"/>
                <w14:textFill>
                  <w14:solidFill>
                    <w14:schemeClr w14:val="tx1"/>
                  </w14:solidFill>
                </w14:textFill>
              </w:rPr>
              <w:t>项目</w:t>
            </w:r>
          </w:p>
        </w:tc>
        <w:tc>
          <w:tcPr>
            <w:tcW w:w="2548" w:type="dxa"/>
          </w:tcPr>
          <w:p w14:paraId="3245844D">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p>
        </w:tc>
        <w:tc>
          <w:tcPr>
            <w:tcW w:w="2548" w:type="dxa"/>
            <w:vAlign w:val="center"/>
          </w:tcPr>
          <w:p w14:paraId="78404AD1">
            <w:pPr>
              <w:spacing w:line="360" w:lineRule="auto"/>
              <w:rPr>
                <w:rFonts w:cs="宋体" w:asciiTheme="minorEastAsia" w:hAnsiTheme="minorEastAsia"/>
                <w:color w:val="000000" w:themeColor="text1"/>
                <w:sz w:val="24"/>
                <w:szCs w:val="24"/>
                <w14:textFill>
                  <w14:solidFill>
                    <w14:schemeClr w14:val="tx1"/>
                  </w14:solidFill>
                </w14:textFill>
              </w:rPr>
            </w:pPr>
          </w:p>
        </w:tc>
        <w:tc>
          <w:tcPr>
            <w:tcW w:w="1118" w:type="dxa"/>
            <w:vAlign w:val="center"/>
          </w:tcPr>
          <w:p w14:paraId="4BD46224">
            <w:pPr>
              <w:spacing w:line="360" w:lineRule="auto"/>
              <w:rPr>
                <w:rFonts w:cs="宋体" w:asciiTheme="minorEastAsia" w:hAnsiTheme="minorEastAsia"/>
                <w:color w:val="000000" w:themeColor="text1"/>
                <w:sz w:val="24"/>
                <w:szCs w:val="24"/>
                <w14:textFill>
                  <w14:solidFill>
                    <w14:schemeClr w14:val="tx1"/>
                  </w14:solidFill>
                </w14:textFill>
              </w:rPr>
            </w:pPr>
          </w:p>
        </w:tc>
      </w:tr>
      <w:tr w14:paraId="6645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149" w:type="dxa"/>
            <w:vAlign w:val="center"/>
          </w:tcPr>
          <w:p w14:paraId="7312D671">
            <w:pPr>
              <w:spacing w:line="360" w:lineRule="auto"/>
              <w:rPr>
                <w:rFonts w:cs="宋体" w:asciiTheme="minorEastAsia" w:hAnsiTheme="minorEastAsia"/>
                <w:color w:val="000000" w:themeColor="text1"/>
                <w:sz w:val="24"/>
                <w:szCs w:val="24"/>
                <w14:textFill>
                  <w14:solidFill>
                    <w14:schemeClr w14:val="tx1"/>
                  </w14:solidFill>
                </w14:textFill>
              </w:rPr>
            </w:pPr>
          </w:p>
        </w:tc>
        <w:tc>
          <w:tcPr>
            <w:tcW w:w="2003" w:type="dxa"/>
            <w:vAlign w:val="center"/>
          </w:tcPr>
          <w:p w14:paraId="675B2D6E">
            <w:pPr>
              <w:spacing w:line="360" w:lineRule="auto"/>
              <w:rPr>
                <w:rFonts w:cs="宋体" w:asciiTheme="minorEastAsia" w:hAnsiTheme="minorEastAsia"/>
                <w:color w:val="000000" w:themeColor="text1"/>
                <w:sz w:val="24"/>
                <w:szCs w:val="24"/>
                <w14:textFill>
                  <w14:solidFill>
                    <w14:schemeClr w14:val="tx1"/>
                  </w14:solidFill>
                </w14:textFill>
              </w:rPr>
            </w:pPr>
          </w:p>
        </w:tc>
        <w:tc>
          <w:tcPr>
            <w:tcW w:w="2548" w:type="dxa"/>
          </w:tcPr>
          <w:p w14:paraId="4FB04C85">
            <w:pPr>
              <w:spacing w:line="360" w:lineRule="auto"/>
              <w:rPr>
                <w:rFonts w:cs="宋体" w:asciiTheme="minorEastAsia" w:hAnsiTheme="minorEastAsia"/>
                <w:color w:val="000000" w:themeColor="text1"/>
                <w:sz w:val="24"/>
                <w:szCs w:val="24"/>
                <w14:textFill>
                  <w14:solidFill>
                    <w14:schemeClr w14:val="tx1"/>
                  </w14:solidFill>
                </w14:textFill>
              </w:rPr>
            </w:pPr>
          </w:p>
        </w:tc>
        <w:tc>
          <w:tcPr>
            <w:tcW w:w="2548" w:type="dxa"/>
            <w:vAlign w:val="center"/>
          </w:tcPr>
          <w:p w14:paraId="1288DF2D">
            <w:pPr>
              <w:spacing w:line="360" w:lineRule="auto"/>
              <w:rPr>
                <w:rFonts w:cs="宋体" w:asciiTheme="minorEastAsia" w:hAnsiTheme="minorEastAsia"/>
                <w:color w:val="000000" w:themeColor="text1"/>
                <w:sz w:val="24"/>
                <w:szCs w:val="24"/>
                <w14:textFill>
                  <w14:solidFill>
                    <w14:schemeClr w14:val="tx1"/>
                  </w14:solidFill>
                </w14:textFill>
              </w:rPr>
            </w:pPr>
          </w:p>
        </w:tc>
        <w:tc>
          <w:tcPr>
            <w:tcW w:w="1118" w:type="dxa"/>
            <w:vAlign w:val="center"/>
          </w:tcPr>
          <w:p w14:paraId="71903C07">
            <w:pPr>
              <w:spacing w:line="360" w:lineRule="auto"/>
              <w:rPr>
                <w:rFonts w:cs="宋体" w:asciiTheme="minorEastAsia" w:hAnsiTheme="minorEastAsia"/>
                <w:color w:val="000000" w:themeColor="text1"/>
                <w:sz w:val="24"/>
                <w:szCs w:val="24"/>
                <w14:textFill>
                  <w14:solidFill>
                    <w14:schemeClr w14:val="tx1"/>
                  </w14:solidFill>
                </w14:textFill>
              </w:rPr>
            </w:pPr>
          </w:p>
        </w:tc>
      </w:tr>
      <w:tr w14:paraId="09B4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49" w:type="dxa"/>
            <w:vAlign w:val="center"/>
          </w:tcPr>
          <w:p w14:paraId="46FD4C84">
            <w:pPr>
              <w:spacing w:line="520" w:lineRule="exact"/>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磋商报价总计</w:t>
            </w:r>
          </w:p>
          <w:p w14:paraId="5C0D9B1B">
            <w:pPr>
              <w:spacing w:line="360" w:lineRule="auto"/>
              <w:rPr>
                <w:rFonts w:cs="宋体" w:asciiTheme="minorEastAsia" w:hAnsiTheme="minorEastAsia"/>
                <w:bCs/>
                <w:color w:val="000000" w:themeColor="text1"/>
                <w:sz w:val="24"/>
                <w:szCs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首次</w:t>
            </w:r>
            <w:r>
              <w:rPr>
                <w:rFonts w:cs="宋体" w:asciiTheme="minorEastAsia" w:hAnsiTheme="minorEastAsia"/>
                <w:color w:val="000000" w:themeColor="text1"/>
                <w:sz w:val="24"/>
                <w14:textFill>
                  <w14:solidFill>
                    <w14:schemeClr w14:val="tx1"/>
                  </w14:solidFill>
                </w14:textFill>
              </w:rPr>
              <w:t>)</w:t>
            </w:r>
          </w:p>
        </w:tc>
        <w:tc>
          <w:tcPr>
            <w:tcW w:w="8217" w:type="dxa"/>
            <w:gridSpan w:val="4"/>
          </w:tcPr>
          <w:p w14:paraId="313551B3">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人民币（大写）元整</w:t>
            </w:r>
          </w:p>
          <w:p w14:paraId="1650C52A">
            <w:pPr>
              <w:spacing w:line="360" w:lineRule="auto"/>
              <w:rPr>
                <w:rFonts w:cs="宋体"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cs="宋体"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元整）</w:t>
            </w:r>
          </w:p>
        </w:tc>
      </w:tr>
      <w:tr w14:paraId="1AC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49" w:type="dxa"/>
            <w:vAlign w:val="center"/>
          </w:tcPr>
          <w:p w14:paraId="65511352">
            <w:pPr>
              <w:spacing w:line="520" w:lineRule="exact"/>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磋商报价总计</w:t>
            </w:r>
          </w:p>
          <w:p w14:paraId="5781BB9B">
            <w:pPr>
              <w:spacing w:line="360" w:lineRule="auto"/>
              <w:rPr>
                <w:rFonts w:cs="宋体" w:asciiTheme="minorEastAsia" w:hAnsiTheme="minorEastAsia"/>
                <w:bCs/>
                <w:color w:val="000000" w:themeColor="text1"/>
                <w:sz w:val="24"/>
                <w:szCs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二次</w:t>
            </w:r>
            <w:r>
              <w:rPr>
                <w:rFonts w:cs="宋体" w:asciiTheme="minorEastAsia" w:hAnsiTheme="minorEastAsia"/>
                <w:color w:val="000000" w:themeColor="text1"/>
                <w:sz w:val="24"/>
                <w14:textFill>
                  <w14:solidFill>
                    <w14:schemeClr w14:val="tx1"/>
                  </w14:solidFill>
                </w14:textFill>
              </w:rPr>
              <w:t>)</w:t>
            </w:r>
          </w:p>
        </w:tc>
        <w:tc>
          <w:tcPr>
            <w:tcW w:w="8217" w:type="dxa"/>
            <w:gridSpan w:val="4"/>
          </w:tcPr>
          <w:p w14:paraId="3047AB04">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人民币（大写）元整</w:t>
            </w:r>
          </w:p>
          <w:p w14:paraId="6186786D">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cs="宋体"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元整）</w:t>
            </w:r>
          </w:p>
        </w:tc>
      </w:tr>
    </w:tbl>
    <w:p w14:paraId="3BD9CA6B">
      <w:pPr>
        <w:spacing w:line="360" w:lineRule="auto"/>
        <w:rPr>
          <w:rFonts w:asciiTheme="minorEastAsia" w:hAnsiTheme="minorEastAsia"/>
          <w:color w:val="000000" w:themeColor="text1"/>
          <w:sz w:val="24"/>
          <w:szCs w:val="24"/>
          <w14:textFill>
            <w14:solidFill>
              <w14:schemeClr w14:val="tx1"/>
            </w14:solidFill>
          </w14:textFill>
        </w:rPr>
      </w:pPr>
    </w:p>
    <w:p w14:paraId="1768BAB2">
      <w:pPr>
        <w:spacing w:line="400" w:lineRule="exact"/>
        <w:ind w:left="842" w:leftChars="229" w:hanging="361" w:hangingChars="150"/>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注：</w:t>
      </w:r>
      <w:r>
        <w:rPr>
          <w:rFonts w:cs="宋体" w:asciiTheme="minorEastAsia" w:hAnsiTheme="minorEastAsia"/>
          <w:b/>
          <w:color w:val="000000" w:themeColor="text1"/>
          <w:sz w:val="24"/>
          <w14:textFill>
            <w14:solidFill>
              <w14:schemeClr w14:val="tx1"/>
            </w14:solidFill>
          </w14:textFill>
        </w:rPr>
        <w:t>1.</w:t>
      </w:r>
      <w:r>
        <w:rPr>
          <w:rFonts w:hint="eastAsia" w:cs="宋体" w:asciiTheme="minorEastAsia" w:hAnsiTheme="minorEastAsia"/>
          <w:b/>
          <w:color w:val="000000" w:themeColor="text1"/>
          <w:sz w:val="24"/>
          <w14:textFill>
            <w14:solidFill>
              <w14:schemeClr w14:val="tx1"/>
            </w14:solidFill>
          </w14:textFill>
        </w:rPr>
        <w:t>磋商</w:t>
      </w:r>
      <w:r>
        <w:rPr>
          <w:rFonts w:hint="eastAsia" w:asciiTheme="minorEastAsia" w:hAnsiTheme="minorEastAsia"/>
          <w:b/>
          <w:color w:val="000000" w:themeColor="text1"/>
          <w:sz w:val="24"/>
          <w:szCs w:val="24"/>
          <w14:textFill>
            <w14:solidFill>
              <w14:schemeClr w14:val="tx1"/>
            </w14:solidFill>
          </w14:textFill>
        </w:rPr>
        <w:t>报价</w:t>
      </w:r>
      <w:r>
        <w:rPr>
          <w:rFonts w:hint="eastAsia" w:cs="宋体" w:asciiTheme="minorEastAsia" w:hAnsiTheme="minorEastAsia"/>
          <w:b/>
          <w:color w:val="000000" w:themeColor="text1"/>
          <w:sz w:val="24"/>
          <w14:textFill>
            <w14:solidFill>
              <w14:schemeClr w14:val="tx1"/>
            </w14:solidFill>
          </w14:textFill>
        </w:rPr>
        <w:t>文件密封提交时只需填写磋商报价总计（首次），二次报价将在开标现场填写。</w:t>
      </w:r>
    </w:p>
    <w:p w14:paraId="63E07AC1">
      <w:pPr>
        <w:spacing w:line="400" w:lineRule="exact"/>
        <w:ind w:left="840" w:leftChars="400"/>
        <w:rPr>
          <w:rFonts w:cs="宋体" w:asciiTheme="minorEastAsia" w:hAnsiTheme="minorEastAsia"/>
          <w:b/>
          <w:color w:val="000000" w:themeColor="text1"/>
          <w:sz w:val="24"/>
          <w14:textFill>
            <w14:solidFill>
              <w14:schemeClr w14:val="tx1"/>
            </w14:solidFill>
          </w14:textFill>
        </w:rPr>
      </w:pPr>
      <w:r>
        <w:rPr>
          <w:rFonts w:cs="宋体" w:asciiTheme="minorEastAsia" w:hAnsiTheme="minorEastAsia"/>
          <w:b/>
          <w:color w:val="000000" w:themeColor="text1"/>
          <w:sz w:val="24"/>
          <w14:textFill>
            <w14:solidFill>
              <w14:schemeClr w14:val="tx1"/>
            </w14:solidFill>
          </w14:textFill>
        </w:rPr>
        <w:t>2</w:t>
      </w:r>
      <w:r>
        <w:rPr>
          <w:rFonts w:hint="eastAsia" w:cs="宋体" w:asciiTheme="minorEastAsia" w:hAnsiTheme="minorEastAsia"/>
          <w:b/>
          <w:color w:val="000000" w:themeColor="text1"/>
          <w:sz w:val="24"/>
          <w14:textFill>
            <w14:solidFill>
              <w14:schemeClr w14:val="tx1"/>
            </w14:solidFill>
          </w14:textFill>
        </w:rPr>
        <w:t>、投标总报价（以人民币计价）应包含实施该项目所有费用。</w:t>
      </w:r>
    </w:p>
    <w:p w14:paraId="1852FFD3">
      <w:pPr>
        <w:spacing w:line="360" w:lineRule="auto"/>
        <w:rPr>
          <w:rFonts w:asciiTheme="minorEastAsia" w:hAnsiTheme="minorEastAsia"/>
          <w:color w:val="000000" w:themeColor="text1"/>
          <w:sz w:val="24"/>
          <w:szCs w:val="24"/>
          <w14:textFill>
            <w14:solidFill>
              <w14:schemeClr w14:val="tx1"/>
            </w14:solidFill>
          </w14:textFill>
        </w:rPr>
      </w:pPr>
    </w:p>
    <w:p w14:paraId="1E41B345">
      <w:pPr>
        <w:spacing w:line="360" w:lineRule="auto"/>
        <w:rPr>
          <w:rFonts w:asciiTheme="minorEastAsia" w:hAnsiTheme="minorEastAsia"/>
          <w:color w:val="000000" w:themeColor="text1"/>
          <w:sz w:val="24"/>
          <w:szCs w:val="24"/>
          <w14:textFill>
            <w14:solidFill>
              <w14:schemeClr w14:val="tx1"/>
            </w14:solidFill>
          </w14:textFill>
        </w:rPr>
      </w:pPr>
    </w:p>
    <w:p w14:paraId="25BD1D07">
      <w:pPr>
        <w:spacing w:line="600" w:lineRule="exact"/>
        <w:ind w:firstLine="48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磋商供应商：</w:t>
      </w:r>
      <w:r>
        <w:rPr>
          <w:rFonts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（加盖公章）</w:t>
      </w:r>
    </w:p>
    <w:p w14:paraId="3AC2829D">
      <w:pPr>
        <w:spacing w:line="600" w:lineRule="exact"/>
        <w:ind w:firstLine="48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法定代表人或被委托授权人：</w:t>
      </w:r>
      <w:r>
        <w:rPr>
          <w:rFonts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（签字或盖章）</w:t>
      </w:r>
    </w:p>
    <w:p w14:paraId="5178E060">
      <w:pPr>
        <w:spacing w:line="600" w:lineRule="exact"/>
        <w:ind w:firstLine="48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二○二</w:t>
      </w:r>
      <w:r>
        <w:rPr>
          <w:rFonts w:hint="eastAsia" w:cs="宋体" w:asciiTheme="minorEastAsia" w:hAnsiTheme="minorEastAsia"/>
          <w:color w:val="000000" w:themeColor="text1"/>
          <w:sz w:val="24"/>
          <w:lang w:eastAsia="zh-CN"/>
          <w14:textFill>
            <w14:solidFill>
              <w14:schemeClr w14:val="tx1"/>
            </w14:solidFill>
          </w14:textFill>
        </w:rPr>
        <w:t>四</w:t>
      </w:r>
      <w:r>
        <w:rPr>
          <w:rFonts w:hint="eastAsia" w:cs="宋体" w:asciiTheme="minorEastAsia" w:hAnsiTheme="minorEastAsia"/>
          <w:color w:val="000000" w:themeColor="text1"/>
          <w:sz w:val="24"/>
          <w14:textFill>
            <w14:solidFill>
              <w14:schemeClr w14:val="tx1"/>
            </w14:solidFill>
          </w14:textFill>
        </w:rPr>
        <w:t>年</w:t>
      </w:r>
      <w:r>
        <w:rPr>
          <w:rFonts w:cs="宋体" w:asciiTheme="minorEastAsia" w:hAnsiTheme="minorEastAsia"/>
          <w:color w:val="000000" w:themeColor="text1"/>
          <w:sz w:val="24"/>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月</w:t>
      </w:r>
      <w:r>
        <w:rPr>
          <w:rFonts w:cs="宋体" w:asciiTheme="minorEastAsia" w:hAnsiTheme="minorEastAsia"/>
          <w:color w:val="000000" w:themeColor="text1"/>
          <w:sz w:val="24"/>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日</w:t>
      </w:r>
    </w:p>
    <w:p w14:paraId="59197069">
      <w:pPr>
        <w:spacing w:line="360" w:lineRule="auto"/>
        <w:rPr>
          <w:rFonts w:asciiTheme="minorEastAsia" w:hAnsiTheme="minorEastAsia"/>
          <w:color w:val="000000" w:themeColor="text1"/>
          <w:sz w:val="24"/>
          <w:szCs w:val="24"/>
          <w14:textFill>
            <w14:solidFill>
              <w14:schemeClr w14:val="tx1"/>
            </w14:solidFill>
          </w14:textFill>
        </w:rPr>
      </w:pPr>
    </w:p>
    <w:p w14:paraId="4DD39D48">
      <w:pPr>
        <w:widowControl/>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br w:type="page"/>
      </w:r>
    </w:p>
    <w:p w14:paraId="36D17571">
      <w:pPr>
        <w:spacing w:beforeLines="50" w:afterLines="50" w:line="360" w:lineRule="auto"/>
        <w:ind w:firstLine="4096" w:firstLineChars="17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四、投标承诺书</w:t>
      </w:r>
    </w:p>
    <w:p w14:paraId="39036FEB">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南通市总工会</w:t>
      </w:r>
      <w:r>
        <w:rPr>
          <w:rFonts w:hint="eastAsia" w:asciiTheme="minorEastAsia" w:hAnsiTheme="minorEastAsia"/>
          <w:color w:val="000000" w:themeColor="text1"/>
          <w:sz w:val="24"/>
          <w:szCs w:val="24"/>
          <w14:textFill>
            <w14:solidFill>
              <w14:schemeClr w14:val="tx1"/>
            </w14:solidFill>
          </w14:textFill>
        </w:rPr>
        <w:t>：</w:t>
      </w:r>
    </w:p>
    <w:p w14:paraId="41E34E10">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（投标单位全称）授权（姓名）（职务）为全权代表，参加</w:t>
      </w:r>
      <w:r>
        <w:rPr>
          <w:rFonts w:hint="eastAsia" w:asciiTheme="minorEastAsia" w:hAnsiTheme="minorEastAsia"/>
          <w:color w:val="000000" w:themeColor="text1"/>
          <w:sz w:val="24"/>
          <w:szCs w:val="24"/>
          <w:lang w:eastAsia="zh-CN"/>
          <w14:textFill>
            <w14:solidFill>
              <w14:schemeClr w14:val="tx1"/>
            </w14:solidFill>
          </w14:textFill>
        </w:rPr>
        <w:t>南通市总工会</w:t>
      </w:r>
      <w:r>
        <w:rPr>
          <w:rFonts w:hint="eastAsia"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      （项目名称）</w:t>
      </w:r>
      <w:r>
        <w:rPr>
          <w:rFonts w:hint="eastAsia" w:asciiTheme="minorEastAsia" w:hAnsiTheme="minorEastAsia"/>
          <w:color w:val="000000" w:themeColor="text1"/>
          <w:sz w:val="24"/>
          <w:szCs w:val="24"/>
          <w14:textFill>
            <w14:solidFill>
              <w14:schemeClr w14:val="tx1"/>
            </w14:solidFill>
          </w14:textFill>
        </w:rPr>
        <w:t>招标的有关活动，并宣布同意如下：</w:t>
      </w:r>
    </w:p>
    <w:p w14:paraId="2B3C36FE">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．我方愿意按照招标文件的全部要求进行投标（投标内容及价格以投标文件为准）。</w:t>
      </w:r>
    </w:p>
    <w:p w14:paraId="7061CDA7">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．我方完全理解并同意放弃对招标文件有不明及误解的权利。</w:t>
      </w:r>
    </w:p>
    <w:p w14:paraId="27B22B97">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．我方将按招标文件的规定履行合同责任和义务。</w:t>
      </w:r>
    </w:p>
    <w:p w14:paraId="6A74D900">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．如果我方在投标有效期内撤回投标，投标保证金将被贵方没收。</w:t>
      </w:r>
    </w:p>
    <w:p w14:paraId="0462C6A2">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．我方同意提供按照贵方可能要求的与其投标有关的一切数据或资料，理解贵方不一定要选择最低价的投标。</w:t>
      </w:r>
    </w:p>
    <w:p w14:paraId="28E9E77A">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．我方的投标书自开标后</w:t>
      </w:r>
      <w:r>
        <w:rPr>
          <w:rFonts w:asciiTheme="minorEastAsia" w:hAnsiTheme="minorEastAsia"/>
          <w:color w:val="000000" w:themeColor="text1"/>
          <w:sz w:val="24"/>
          <w:szCs w:val="24"/>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天内有效</w:t>
      </w:r>
    </w:p>
    <w:p w14:paraId="01CEA96C">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．与本投标有关的一切往来通讯请寄：</w:t>
      </w:r>
    </w:p>
    <w:p w14:paraId="432255A5">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　　　　　　　　　　　　　邮编：</w:t>
      </w:r>
    </w:p>
    <w:p w14:paraId="2DEECC3A">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　　　　　　　　　　　　　传真：</w:t>
      </w:r>
    </w:p>
    <w:p w14:paraId="005D79CD">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授权委托人签字：　　　　　　　　职务：</w:t>
      </w:r>
    </w:p>
    <w:p w14:paraId="5DF0AEE4">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投标单位名称：（加盖单位公章）</w:t>
      </w:r>
    </w:p>
    <w:p w14:paraId="1176ECCC">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日期：年月日　　</w:t>
      </w:r>
    </w:p>
    <w:p w14:paraId="0DBE3454">
      <w:pPr>
        <w:spacing w:line="360" w:lineRule="auto"/>
        <w:rPr>
          <w:rFonts w:asciiTheme="minorEastAsia" w:hAnsiTheme="minorEastAsia"/>
          <w:color w:val="000000" w:themeColor="text1"/>
          <w:sz w:val="24"/>
          <w:szCs w:val="24"/>
          <w14:textFill>
            <w14:solidFill>
              <w14:schemeClr w14:val="tx1"/>
            </w14:solidFill>
          </w14:textFill>
        </w:rPr>
      </w:pPr>
    </w:p>
    <w:p w14:paraId="742F2758">
      <w:pPr>
        <w:spacing w:line="360" w:lineRule="auto"/>
        <w:rPr>
          <w:rFonts w:asciiTheme="minorEastAsia" w:hAnsiTheme="minorEastAsia"/>
          <w:color w:val="000000" w:themeColor="text1"/>
          <w:sz w:val="24"/>
          <w:szCs w:val="24"/>
          <w14:textFill>
            <w14:solidFill>
              <w14:schemeClr w14:val="tx1"/>
            </w14:solidFill>
          </w14:textFill>
        </w:rPr>
      </w:pPr>
    </w:p>
    <w:p w14:paraId="350DD432">
      <w:pPr>
        <w:spacing w:line="360" w:lineRule="auto"/>
        <w:rPr>
          <w:rFonts w:asciiTheme="minorEastAsia" w:hAnsiTheme="minorEastAsia"/>
          <w:color w:val="000000" w:themeColor="text1"/>
          <w:sz w:val="24"/>
          <w:szCs w:val="24"/>
          <w14:textFill>
            <w14:solidFill>
              <w14:schemeClr w14:val="tx1"/>
            </w14:solidFill>
          </w14:textFill>
        </w:rPr>
      </w:pPr>
    </w:p>
    <w:p w14:paraId="35DA0AFE">
      <w:pPr>
        <w:spacing w:line="360" w:lineRule="auto"/>
        <w:rPr>
          <w:rFonts w:asciiTheme="minorEastAsia" w:hAnsiTheme="minorEastAsia"/>
          <w:color w:val="000000" w:themeColor="text1"/>
          <w:sz w:val="24"/>
          <w:szCs w:val="24"/>
          <w14:textFill>
            <w14:solidFill>
              <w14:schemeClr w14:val="tx1"/>
            </w14:solidFill>
          </w14:textFill>
        </w:rPr>
      </w:pPr>
    </w:p>
    <w:p w14:paraId="1BE180F2">
      <w:pPr>
        <w:spacing w:line="360" w:lineRule="auto"/>
        <w:rPr>
          <w:rFonts w:asciiTheme="minorEastAsia" w:hAnsiTheme="minorEastAsia"/>
          <w:color w:val="000000" w:themeColor="text1"/>
          <w:sz w:val="24"/>
          <w:szCs w:val="24"/>
          <w14:textFill>
            <w14:solidFill>
              <w14:schemeClr w14:val="tx1"/>
            </w14:solidFill>
          </w14:textFill>
        </w:rPr>
      </w:pPr>
    </w:p>
    <w:p w14:paraId="7FA3FEB5">
      <w:pPr>
        <w:spacing w:line="360" w:lineRule="auto"/>
        <w:rPr>
          <w:rFonts w:asciiTheme="minorEastAsia" w:hAnsiTheme="minorEastAsia"/>
          <w:color w:val="000000" w:themeColor="text1"/>
          <w:sz w:val="24"/>
          <w:szCs w:val="24"/>
          <w14:textFill>
            <w14:solidFill>
              <w14:schemeClr w14:val="tx1"/>
            </w14:solidFill>
          </w14:textFill>
        </w:rPr>
      </w:pPr>
    </w:p>
    <w:p w14:paraId="27D84FF2">
      <w:pPr>
        <w:spacing w:line="360" w:lineRule="auto"/>
        <w:rPr>
          <w:rFonts w:asciiTheme="minorEastAsia" w:hAnsiTheme="minorEastAsia"/>
          <w:color w:val="000000" w:themeColor="text1"/>
          <w:sz w:val="24"/>
          <w:szCs w:val="24"/>
          <w14:textFill>
            <w14:solidFill>
              <w14:schemeClr w14:val="tx1"/>
            </w14:solidFill>
          </w14:textFill>
        </w:rPr>
      </w:pPr>
    </w:p>
    <w:p w14:paraId="7BD47A74">
      <w:pPr>
        <w:spacing w:line="360" w:lineRule="auto"/>
        <w:rPr>
          <w:rFonts w:asciiTheme="minorEastAsia" w:hAnsiTheme="minorEastAsia"/>
          <w:color w:val="000000" w:themeColor="text1"/>
          <w:sz w:val="24"/>
          <w:szCs w:val="24"/>
          <w14:textFill>
            <w14:solidFill>
              <w14:schemeClr w14:val="tx1"/>
            </w14:solidFill>
          </w14:textFill>
        </w:rPr>
      </w:pPr>
    </w:p>
    <w:p w14:paraId="3FE392F5">
      <w:pPr>
        <w:spacing w:line="360" w:lineRule="auto"/>
        <w:rPr>
          <w:rFonts w:asciiTheme="minorEastAsia" w:hAnsiTheme="minorEastAsia"/>
          <w:color w:val="000000" w:themeColor="text1"/>
          <w:sz w:val="24"/>
          <w:szCs w:val="24"/>
          <w14:textFill>
            <w14:solidFill>
              <w14:schemeClr w14:val="tx1"/>
            </w14:solidFill>
          </w14:textFill>
        </w:rPr>
      </w:pPr>
    </w:p>
    <w:p w14:paraId="29047EAD">
      <w:pPr>
        <w:spacing w:line="360" w:lineRule="auto"/>
        <w:rPr>
          <w:rFonts w:asciiTheme="minorEastAsia" w:hAnsiTheme="minorEastAsia"/>
          <w:color w:val="000000" w:themeColor="text1"/>
          <w:sz w:val="24"/>
          <w:szCs w:val="24"/>
          <w14:textFill>
            <w14:solidFill>
              <w14:schemeClr w14:val="tx1"/>
            </w14:solidFill>
          </w14:textFill>
        </w:rPr>
      </w:pPr>
    </w:p>
    <w:p w14:paraId="1482831C">
      <w:pPr>
        <w:spacing w:line="360" w:lineRule="auto"/>
        <w:rPr>
          <w:rFonts w:asciiTheme="minorEastAsia" w:hAnsiTheme="minorEastAsia"/>
          <w:color w:val="000000" w:themeColor="text1"/>
          <w:sz w:val="24"/>
          <w:szCs w:val="24"/>
          <w14:textFill>
            <w14:solidFill>
              <w14:schemeClr w14:val="tx1"/>
            </w14:solidFill>
          </w14:textFill>
        </w:rPr>
      </w:pPr>
    </w:p>
    <w:p w14:paraId="4BC7A2B0">
      <w:pPr>
        <w:spacing w:line="360" w:lineRule="auto"/>
        <w:rPr>
          <w:rFonts w:asciiTheme="minorEastAsia" w:hAnsiTheme="minorEastAsia"/>
          <w:color w:val="000000" w:themeColor="text1"/>
          <w:sz w:val="24"/>
          <w:szCs w:val="24"/>
          <w14:textFill>
            <w14:solidFill>
              <w14:schemeClr w14:val="tx1"/>
            </w14:solidFill>
          </w14:textFill>
        </w:rPr>
      </w:pPr>
    </w:p>
    <w:p w14:paraId="395494BF">
      <w:pPr>
        <w:spacing w:beforeLines="50" w:afterLines="50"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五、其他</w:t>
      </w:r>
    </w:p>
    <w:p w14:paraId="6AF1EC0B">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请磋商供应商根据评分标准组织资料，格式不限，但要求目录清晰、内容完备，便于评委评判。因目录不清晰或提供的材料（复印件）模糊，以至三分之二以上评委无法判断，而影响评分的责任由磋商供应商自行承担。</w:t>
      </w:r>
    </w:p>
    <w:p w14:paraId="38E1A3DD">
      <w:pPr>
        <w:rPr>
          <w:color w:val="000000" w:themeColor="text1"/>
          <w14:textFill>
            <w14:solidFill>
              <w14:schemeClr w14:val="tx1"/>
            </w14:solidFill>
          </w14:textFill>
        </w:rPr>
      </w:pPr>
    </w:p>
    <w:p w14:paraId="187835EE">
      <w:pPr>
        <w:rPr>
          <w:color w:val="000000" w:themeColor="text1"/>
          <w14:textFill>
            <w14:solidFill>
              <w14:schemeClr w14:val="tx1"/>
            </w14:solidFill>
          </w14:textFill>
        </w:rPr>
      </w:pPr>
    </w:p>
    <w:sectPr>
      <w:headerReference r:id="rId3" w:type="default"/>
      <w:footerReference r:id="rId4" w:type="default"/>
      <w:pgSz w:w="11906" w:h="16838"/>
      <w:pgMar w:top="1418" w:right="1134"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ADA1">
    <w:pPr>
      <w:pStyle w:val="1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79F76F">
                          <w:pPr>
                            <w:pStyle w:val="12"/>
                            <w:jc w:val="center"/>
                          </w:pPr>
                          <w:r>
                            <w:rPr>
                              <w:rFonts w:ascii="宋体" w:hAnsi="宋体"/>
                              <w:bCs/>
                              <w:sz w:val="21"/>
                              <w:szCs w:val="21"/>
                            </w:rPr>
                            <w:fldChar w:fldCharType="begin"/>
                          </w:r>
                          <w:r>
                            <w:rPr>
                              <w:rFonts w:ascii="宋体" w:hAnsi="宋体"/>
                              <w:bCs/>
                              <w:sz w:val="21"/>
                              <w:szCs w:val="21"/>
                            </w:rPr>
                            <w:instrText xml:space="preserve">PAGE</w:instrText>
                          </w:r>
                          <w:r>
                            <w:rPr>
                              <w:rFonts w:ascii="宋体" w:hAnsi="宋体"/>
                              <w:bCs/>
                              <w:sz w:val="21"/>
                              <w:szCs w:val="21"/>
                            </w:rPr>
                            <w:fldChar w:fldCharType="separate"/>
                          </w:r>
                          <w:r>
                            <w:rPr>
                              <w:rFonts w:ascii="宋体" w:hAnsi="宋体"/>
                              <w:bCs/>
                              <w:sz w:val="21"/>
                              <w:szCs w:val="21"/>
                            </w:rPr>
                            <w:t>10</w:t>
                          </w:r>
                          <w:r>
                            <w:rPr>
                              <w:rFonts w:ascii="宋体" w:hAnsi="宋体"/>
                              <w:bCs/>
                              <w:sz w:val="21"/>
                              <w:szCs w:val="21"/>
                            </w:rPr>
                            <w:fldChar w:fldCharType="end"/>
                          </w:r>
                          <w:r>
                            <w:rPr>
                              <w:rFonts w:ascii="宋体" w:hAnsi="宋体"/>
                              <w:sz w:val="21"/>
                              <w:szCs w:val="21"/>
                              <w:lang w:val="zh-CN"/>
                            </w:rPr>
                            <w:t xml:space="preserve"> / </w:t>
                          </w:r>
                          <w:r>
                            <w:rPr>
                              <w:rFonts w:ascii="宋体" w:hAnsi="宋体"/>
                              <w:bCs/>
                              <w:sz w:val="21"/>
                              <w:szCs w:val="21"/>
                            </w:rPr>
                            <w:fldChar w:fldCharType="begin"/>
                          </w:r>
                          <w:r>
                            <w:rPr>
                              <w:rFonts w:ascii="宋体" w:hAnsi="宋体"/>
                              <w:bCs/>
                              <w:sz w:val="21"/>
                              <w:szCs w:val="21"/>
                            </w:rPr>
                            <w:instrText xml:space="preserve">NUMPAGES</w:instrText>
                          </w:r>
                          <w:r>
                            <w:rPr>
                              <w:rFonts w:ascii="宋体" w:hAnsi="宋体"/>
                              <w:bCs/>
                              <w:sz w:val="21"/>
                              <w:szCs w:val="21"/>
                            </w:rPr>
                            <w:fldChar w:fldCharType="separate"/>
                          </w:r>
                          <w:r>
                            <w:rPr>
                              <w:rFonts w:ascii="宋体" w:hAnsi="宋体"/>
                              <w:bCs/>
                              <w:sz w:val="21"/>
                              <w:szCs w:val="21"/>
                            </w:rPr>
                            <w:t>19</w:t>
                          </w:r>
                          <w:r>
                            <w:rPr>
                              <w:rFonts w:ascii="宋体" w:hAnsi="宋体"/>
                              <w:bCs/>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0E79F76F">
                    <w:pPr>
                      <w:pStyle w:val="12"/>
                      <w:jc w:val="center"/>
                    </w:pPr>
                    <w:r>
                      <w:rPr>
                        <w:rFonts w:ascii="宋体" w:hAnsi="宋体"/>
                        <w:bCs/>
                        <w:sz w:val="21"/>
                        <w:szCs w:val="21"/>
                      </w:rPr>
                      <w:fldChar w:fldCharType="begin"/>
                    </w:r>
                    <w:r>
                      <w:rPr>
                        <w:rFonts w:ascii="宋体" w:hAnsi="宋体"/>
                        <w:bCs/>
                        <w:sz w:val="21"/>
                        <w:szCs w:val="21"/>
                      </w:rPr>
                      <w:instrText xml:space="preserve">PAGE</w:instrText>
                    </w:r>
                    <w:r>
                      <w:rPr>
                        <w:rFonts w:ascii="宋体" w:hAnsi="宋体"/>
                        <w:bCs/>
                        <w:sz w:val="21"/>
                        <w:szCs w:val="21"/>
                      </w:rPr>
                      <w:fldChar w:fldCharType="separate"/>
                    </w:r>
                    <w:r>
                      <w:rPr>
                        <w:rFonts w:ascii="宋体" w:hAnsi="宋体"/>
                        <w:bCs/>
                        <w:sz w:val="21"/>
                        <w:szCs w:val="21"/>
                      </w:rPr>
                      <w:t>10</w:t>
                    </w:r>
                    <w:r>
                      <w:rPr>
                        <w:rFonts w:ascii="宋体" w:hAnsi="宋体"/>
                        <w:bCs/>
                        <w:sz w:val="21"/>
                        <w:szCs w:val="21"/>
                      </w:rPr>
                      <w:fldChar w:fldCharType="end"/>
                    </w:r>
                    <w:r>
                      <w:rPr>
                        <w:rFonts w:ascii="宋体" w:hAnsi="宋体"/>
                        <w:sz w:val="21"/>
                        <w:szCs w:val="21"/>
                        <w:lang w:val="zh-CN"/>
                      </w:rPr>
                      <w:t xml:space="preserve"> / </w:t>
                    </w:r>
                    <w:r>
                      <w:rPr>
                        <w:rFonts w:ascii="宋体" w:hAnsi="宋体"/>
                        <w:bCs/>
                        <w:sz w:val="21"/>
                        <w:szCs w:val="21"/>
                      </w:rPr>
                      <w:fldChar w:fldCharType="begin"/>
                    </w:r>
                    <w:r>
                      <w:rPr>
                        <w:rFonts w:ascii="宋体" w:hAnsi="宋体"/>
                        <w:bCs/>
                        <w:sz w:val="21"/>
                        <w:szCs w:val="21"/>
                      </w:rPr>
                      <w:instrText xml:space="preserve">NUMPAGES</w:instrText>
                    </w:r>
                    <w:r>
                      <w:rPr>
                        <w:rFonts w:ascii="宋体" w:hAnsi="宋体"/>
                        <w:bCs/>
                        <w:sz w:val="21"/>
                        <w:szCs w:val="21"/>
                      </w:rPr>
                      <w:fldChar w:fldCharType="separate"/>
                    </w:r>
                    <w:r>
                      <w:rPr>
                        <w:rFonts w:ascii="宋体" w:hAnsi="宋体"/>
                        <w:bCs/>
                        <w:sz w:val="21"/>
                        <w:szCs w:val="21"/>
                      </w:rPr>
                      <w:t>19</w:t>
                    </w:r>
                    <w:r>
                      <w:rPr>
                        <w:rFonts w:ascii="宋体" w:hAnsi="宋体"/>
                        <w:bC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2CC0">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FA483"/>
    <w:multiLevelType w:val="singleLevel"/>
    <w:tmpl w:val="96AFA483"/>
    <w:lvl w:ilvl="0" w:tentative="0">
      <w:start w:val="5"/>
      <w:numFmt w:val="chineseCounting"/>
      <w:lvlText w:val="%1."/>
      <w:lvlJc w:val="left"/>
      <w:pPr>
        <w:tabs>
          <w:tab w:val="left" w:pos="312"/>
        </w:tabs>
        <w:ind w:left="-480"/>
      </w:pPr>
      <w:rPr>
        <w:rFonts w:hint="eastAsia"/>
      </w:rPr>
    </w:lvl>
  </w:abstractNum>
  <w:abstractNum w:abstractNumId="1">
    <w:nsid w:val="0C2F2325"/>
    <w:multiLevelType w:val="multilevel"/>
    <w:tmpl w:val="0C2F2325"/>
    <w:lvl w:ilvl="0" w:tentative="0">
      <w:start w:val="1"/>
      <w:numFmt w:val="decimal"/>
      <w:lvlText w:val="%1."/>
      <w:lvlJc w:val="left"/>
      <w:pPr>
        <w:ind w:left="980" w:hanging="420"/>
      </w:pPr>
      <w:rPr>
        <w:rFonts w:ascii="仿宋" w:hAnsi="仿宋" w:eastAsia="仿宋"/>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DFF2A51"/>
    <w:multiLevelType w:val="multilevel"/>
    <w:tmpl w:val="0DFF2A5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pStyle w:val="4"/>
      <w:lvlText w:val="1.%4.1"/>
      <w:lvlJc w:val="left"/>
      <w:pPr>
        <w:ind w:left="864" w:hanging="864"/>
      </w:pPr>
      <w:rPr>
        <w:rFonts w:hint="eastAsia"/>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2B801218"/>
    <w:multiLevelType w:val="multilevel"/>
    <w:tmpl w:val="2B801218"/>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32D32D8"/>
    <w:multiLevelType w:val="multilevel"/>
    <w:tmpl w:val="532D32D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ZjE1ZTVlNzcwYTUyZjRhZjU4ZThjNDZlYzQ0YWUifQ=="/>
  </w:docVars>
  <w:rsids>
    <w:rsidRoot w:val="00CB2304"/>
    <w:rsid w:val="000117B9"/>
    <w:rsid w:val="000209A1"/>
    <w:rsid w:val="000802E9"/>
    <w:rsid w:val="000F7CD0"/>
    <w:rsid w:val="0010328A"/>
    <w:rsid w:val="00121179"/>
    <w:rsid w:val="001242F8"/>
    <w:rsid w:val="001271C6"/>
    <w:rsid w:val="00127663"/>
    <w:rsid w:val="00141914"/>
    <w:rsid w:val="00177838"/>
    <w:rsid w:val="00191E0A"/>
    <w:rsid w:val="00195120"/>
    <w:rsid w:val="0019619B"/>
    <w:rsid w:val="001970F8"/>
    <w:rsid w:val="001C3D0B"/>
    <w:rsid w:val="001D235D"/>
    <w:rsid w:val="001E4636"/>
    <w:rsid w:val="001F702C"/>
    <w:rsid w:val="00264580"/>
    <w:rsid w:val="002E20F0"/>
    <w:rsid w:val="00307DBA"/>
    <w:rsid w:val="00312A39"/>
    <w:rsid w:val="00321277"/>
    <w:rsid w:val="00325676"/>
    <w:rsid w:val="003356E7"/>
    <w:rsid w:val="00386E00"/>
    <w:rsid w:val="00394287"/>
    <w:rsid w:val="003B0BB0"/>
    <w:rsid w:val="003C3AA3"/>
    <w:rsid w:val="003D2F7F"/>
    <w:rsid w:val="003E152F"/>
    <w:rsid w:val="00416B6E"/>
    <w:rsid w:val="00417318"/>
    <w:rsid w:val="004249C4"/>
    <w:rsid w:val="00454B6D"/>
    <w:rsid w:val="004572AA"/>
    <w:rsid w:val="0048795B"/>
    <w:rsid w:val="004A03C9"/>
    <w:rsid w:val="004B70E5"/>
    <w:rsid w:val="004C123C"/>
    <w:rsid w:val="004C2DB5"/>
    <w:rsid w:val="004C4B94"/>
    <w:rsid w:val="004D3292"/>
    <w:rsid w:val="004E59EE"/>
    <w:rsid w:val="00514AF0"/>
    <w:rsid w:val="00591372"/>
    <w:rsid w:val="005A2563"/>
    <w:rsid w:val="005C221E"/>
    <w:rsid w:val="005D61B9"/>
    <w:rsid w:val="0061619B"/>
    <w:rsid w:val="00640829"/>
    <w:rsid w:val="00665847"/>
    <w:rsid w:val="006C34B9"/>
    <w:rsid w:val="006D7651"/>
    <w:rsid w:val="00717D00"/>
    <w:rsid w:val="00726762"/>
    <w:rsid w:val="0077671C"/>
    <w:rsid w:val="007B159F"/>
    <w:rsid w:val="007E2CCF"/>
    <w:rsid w:val="008024E9"/>
    <w:rsid w:val="00832C02"/>
    <w:rsid w:val="00852051"/>
    <w:rsid w:val="00855993"/>
    <w:rsid w:val="008E2E4A"/>
    <w:rsid w:val="009033A4"/>
    <w:rsid w:val="00925C8D"/>
    <w:rsid w:val="00927832"/>
    <w:rsid w:val="00946A05"/>
    <w:rsid w:val="0094700B"/>
    <w:rsid w:val="0095586E"/>
    <w:rsid w:val="00967E6F"/>
    <w:rsid w:val="009947B1"/>
    <w:rsid w:val="009B7031"/>
    <w:rsid w:val="009D2B60"/>
    <w:rsid w:val="009E28F2"/>
    <w:rsid w:val="00A01524"/>
    <w:rsid w:val="00A520D5"/>
    <w:rsid w:val="00A636B0"/>
    <w:rsid w:val="00AA7D38"/>
    <w:rsid w:val="00AB0C1B"/>
    <w:rsid w:val="00AE4C67"/>
    <w:rsid w:val="00AF752A"/>
    <w:rsid w:val="00B16D80"/>
    <w:rsid w:val="00B2275F"/>
    <w:rsid w:val="00B33A35"/>
    <w:rsid w:val="00B61BDF"/>
    <w:rsid w:val="00B91E1A"/>
    <w:rsid w:val="00B93E5C"/>
    <w:rsid w:val="00B96D34"/>
    <w:rsid w:val="00BA10E0"/>
    <w:rsid w:val="00BB54D1"/>
    <w:rsid w:val="00C40DEA"/>
    <w:rsid w:val="00C503D4"/>
    <w:rsid w:val="00C5173A"/>
    <w:rsid w:val="00C660F0"/>
    <w:rsid w:val="00CB2304"/>
    <w:rsid w:val="00CB6B14"/>
    <w:rsid w:val="00CE45BB"/>
    <w:rsid w:val="00CE4E9F"/>
    <w:rsid w:val="00CE5872"/>
    <w:rsid w:val="00CF07D0"/>
    <w:rsid w:val="00D02114"/>
    <w:rsid w:val="00D1659A"/>
    <w:rsid w:val="00DC2566"/>
    <w:rsid w:val="00DC497F"/>
    <w:rsid w:val="00DD6E30"/>
    <w:rsid w:val="00DE3D9E"/>
    <w:rsid w:val="00DE73F3"/>
    <w:rsid w:val="00DF7F58"/>
    <w:rsid w:val="00E33EE8"/>
    <w:rsid w:val="00E3503D"/>
    <w:rsid w:val="00E9439D"/>
    <w:rsid w:val="00ED4BC7"/>
    <w:rsid w:val="00F015E9"/>
    <w:rsid w:val="00F362B8"/>
    <w:rsid w:val="00F57A3F"/>
    <w:rsid w:val="00FE3DA1"/>
    <w:rsid w:val="00FF2EC4"/>
    <w:rsid w:val="00FF7B4F"/>
    <w:rsid w:val="02FF6175"/>
    <w:rsid w:val="04081C87"/>
    <w:rsid w:val="08325B5F"/>
    <w:rsid w:val="085D282C"/>
    <w:rsid w:val="0CB53F20"/>
    <w:rsid w:val="0CD67B6D"/>
    <w:rsid w:val="0D5C6DEE"/>
    <w:rsid w:val="112B36C9"/>
    <w:rsid w:val="11791189"/>
    <w:rsid w:val="13546A93"/>
    <w:rsid w:val="148661FA"/>
    <w:rsid w:val="15BB3A4F"/>
    <w:rsid w:val="15D869FE"/>
    <w:rsid w:val="16CB39D5"/>
    <w:rsid w:val="1B131F13"/>
    <w:rsid w:val="1BE6641B"/>
    <w:rsid w:val="21357B40"/>
    <w:rsid w:val="216644E5"/>
    <w:rsid w:val="21F551AF"/>
    <w:rsid w:val="2220647D"/>
    <w:rsid w:val="224410BD"/>
    <w:rsid w:val="2C9B0617"/>
    <w:rsid w:val="32067B68"/>
    <w:rsid w:val="32A26C11"/>
    <w:rsid w:val="32C569DF"/>
    <w:rsid w:val="36362077"/>
    <w:rsid w:val="3D0A2B71"/>
    <w:rsid w:val="3EBC4389"/>
    <w:rsid w:val="3EED1454"/>
    <w:rsid w:val="3FBD32B0"/>
    <w:rsid w:val="40115943"/>
    <w:rsid w:val="40385AE1"/>
    <w:rsid w:val="453B42BC"/>
    <w:rsid w:val="476B088A"/>
    <w:rsid w:val="4874409C"/>
    <w:rsid w:val="49C24822"/>
    <w:rsid w:val="4F1A5806"/>
    <w:rsid w:val="4F8B4887"/>
    <w:rsid w:val="50970286"/>
    <w:rsid w:val="53824CDC"/>
    <w:rsid w:val="53FB5F23"/>
    <w:rsid w:val="54972245"/>
    <w:rsid w:val="54BE08D0"/>
    <w:rsid w:val="56060FAB"/>
    <w:rsid w:val="59BB7166"/>
    <w:rsid w:val="5AA66F62"/>
    <w:rsid w:val="5AF232C4"/>
    <w:rsid w:val="5CC15AE3"/>
    <w:rsid w:val="6DA25353"/>
    <w:rsid w:val="6F3747F9"/>
    <w:rsid w:val="719C7539"/>
    <w:rsid w:val="763109C7"/>
    <w:rsid w:val="77DC14AC"/>
    <w:rsid w:val="798E180D"/>
    <w:rsid w:val="7D985455"/>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4">
    <w:name w:val="heading 4"/>
    <w:basedOn w:val="1"/>
    <w:next w:val="1"/>
    <w:unhideWhenUsed/>
    <w:qFormat/>
    <w:uiPriority w:val="0"/>
    <w:pPr>
      <w:keepNext/>
      <w:keepLines/>
      <w:numPr>
        <w:ilvl w:val="3"/>
        <w:numId w:val="1"/>
      </w:numPr>
      <w:spacing w:before="280" w:after="290" w:line="376" w:lineRule="auto"/>
      <w:outlineLvl w:val="3"/>
    </w:pPr>
    <w:rPr>
      <w:rFonts w:ascii="等线 Light" w:hAnsi="等线 Light"/>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annotation text"/>
    <w:basedOn w:val="1"/>
    <w:unhideWhenUsed/>
    <w:qFormat/>
    <w:uiPriority w:val="0"/>
    <w:pPr>
      <w:jc w:val="left"/>
    </w:pPr>
    <w:rPr>
      <w:rFonts w:ascii="Calibri" w:hAnsi="Calibri" w:eastAsia="微软雅黑"/>
      <w:kern w:val="0"/>
      <w:sz w:val="20"/>
      <w:szCs w:val="21"/>
    </w:rPr>
  </w:style>
  <w:style w:type="paragraph" w:styleId="7">
    <w:name w:val="Body Text Indent"/>
    <w:basedOn w:val="1"/>
    <w:next w:val="8"/>
    <w:qFormat/>
    <w:uiPriority w:val="0"/>
    <w:pPr>
      <w:spacing w:line="520" w:lineRule="exact"/>
      <w:ind w:left="570"/>
    </w:pPr>
    <w:rPr>
      <w:rFonts w:ascii="方正仿宋简体" w:hAnsi="创艺简仿宋" w:eastAsia="方正仿宋简体"/>
      <w:sz w:val="24"/>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Body Text Indent 2"/>
    <w:basedOn w:val="1"/>
    <w:link w:val="30"/>
    <w:qFormat/>
    <w:uiPriority w:val="99"/>
    <w:pPr>
      <w:widowControl/>
      <w:spacing w:line="360" w:lineRule="auto"/>
      <w:ind w:firstLine="573"/>
    </w:pPr>
    <w:rPr>
      <w:sz w:val="24"/>
    </w:rPr>
  </w:style>
  <w:style w:type="paragraph" w:styleId="11">
    <w:name w:val="Balloon Text"/>
    <w:basedOn w:val="1"/>
    <w:link w:val="32"/>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Calibri" w:hAnsi="Calibri" w:eastAsia="宋体" w:cs="Times New Roman"/>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Body Text First Indent 2"/>
    <w:basedOn w:val="7"/>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rFonts w:cs="Times New Roman"/>
      <w:color w:val="0000FF"/>
      <w:u w:val="single"/>
    </w:rPr>
  </w:style>
  <w:style w:type="paragraph" w:customStyle="1" w:styleId="22">
    <w:name w:val="首行缩进"/>
    <w:basedOn w:val="1"/>
    <w:next w:val="1"/>
    <w:qFormat/>
    <w:uiPriority w:val="0"/>
    <w:pPr>
      <w:spacing w:line="360" w:lineRule="auto"/>
      <w:ind w:firstLine="480" w:firstLineChars="200"/>
    </w:pPr>
    <w:rPr>
      <w:rFonts w:ascii="宋体" w:hAnsi="宋体" w:cs="宋体"/>
      <w:kern w:val="0"/>
      <w:sz w:val="24"/>
    </w:rPr>
  </w:style>
  <w:style w:type="character" w:customStyle="1" w:styleId="23">
    <w:name w:val="页眉 Char"/>
    <w:basedOn w:val="19"/>
    <w:link w:val="13"/>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标题 1 Char"/>
    <w:basedOn w:val="19"/>
    <w:link w:val="2"/>
    <w:qFormat/>
    <w:uiPriority w:val="99"/>
    <w:rPr>
      <w:rFonts w:ascii="Calibri" w:hAnsi="Calibri" w:eastAsia="宋体" w:cs="Times New Roman"/>
      <w:b/>
      <w:bCs/>
      <w:kern w:val="44"/>
      <w:sz w:val="44"/>
      <w:szCs w:val="44"/>
    </w:rPr>
  </w:style>
  <w:style w:type="paragraph" w:customStyle="1" w:styleId="26">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7">
    <w:name w:val="正文缩进2格 Char"/>
    <w:link w:val="28"/>
    <w:qFormat/>
    <w:uiPriority w:val="0"/>
    <w:rPr>
      <w:rFonts w:ascii="仿宋_GB2312" w:hAnsi="宋体" w:eastAsia="仿宋_GB2312" w:cs="Times New Roman"/>
      <w:sz w:val="31"/>
      <w:szCs w:val="28"/>
    </w:rPr>
  </w:style>
  <w:style w:type="paragraph" w:customStyle="1" w:styleId="28">
    <w:name w:val="正文缩进2格"/>
    <w:basedOn w:val="1"/>
    <w:link w:val="27"/>
    <w:qFormat/>
    <w:uiPriority w:val="0"/>
    <w:pPr>
      <w:spacing w:line="600" w:lineRule="exact"/>
      <w:ind w:firstLine="639" w:firstLineChars="206"/>
    </w:pPr>
    <w:rPr>
      <w:rFonts w:ascii="仿宋_GB2312" w:hAnsi="宋体" w:eastAsia="仿宋_GB2312" w:cs="Times New Roman"/>
      <w:sz w:val="31"/>
      <w:szCs w:val="28"/>
    </w:rPr>
  </w:style>
  <w:style w:type="character" w:customStyle="1" w:styleId="29">
    <w:name w:val="正文文本缩进 2 Char"/>
    <w:qFormat/>
    <w:locked/>
    <w:uiPriority w:val="99"/>
    <w:rPr>
      <w:sz w:val="24"/>
    </w:rPr>
  </w:style>
  <w:style w:type="character" w:customStyle="1" w:styleId="30">
    <w:name w:val="正文文本缩进 2 Char1"/>
    <w:basedOn w:val="19"/>
    <w:link w:val="10"/>
    <w:semiHidden/>
    <w:qFormat/>
    <w:uiPriority w:val="99"/>
  </w:style>
  <w:style w:type="paragraph" w:styleId="31">
    <w:name w:val="List Paragraph"/>
    <w:basedOn w:val="1"/>
    <w:qFormat/>
    <w:uiPriority w:val="34"/>
    <w:pPr>
      <w:ind w:firstLine="420" w:firstLineChars="200"/>
    </w:pPr>
  </w:style>
  <w:style w:type="character" w:customStyle="1" w:styleId="32">
    <w:name w:val="批注框文本 Char"/>
    <w:basedOn w:val="19"/>
    <w:link w:val="11"/>
    <w:semiHidden/>
    <w:qFormat/>
    <w:uiPriority w:val="99"/>
    <w:rPr>
      <w:rFonts w:asciiTheme="minorHAnsi" w:hAnsiTheme="minorHAnsi" w:eastAsiaTheme="minorEastAsia" w:cstheme="minorBidi"/>
      <w:kern w:val="2"/>
      <w:sz w:val="18"/>
      <w:szCs w:val="18"/>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34"/>
    <w:pPr>
      <w:widowControl/>
      <w:ind w:left="720"/>
      <w:contextualSpacing/>
      <w:jc w:val="left"/>
    </w:pPr>
    <w:rPr>
      <w:kern w:val="0"/>
      <w:sz w:val="24"/>
      <w:szCs w:val="24"/>
      <w:lang w:eastAsia="en-US" w:bidi="en-US"/>
    </w:rPr>
  </w:style>
  <w:style w:type="paragraph" w:customStyle="1" w:styleId="35">
    <w:name w:val="列出段落11"/>
    <w:basedOn w:val="1"/>
    <w:qFormat/>
    <w:uiPriority w:val="0"/>
    <w:pPr>
      <w:widowControl/>
      <w:spacing w:line="300" w:lineRule="auto"/>
      <w:ind w:firstLine="420" w:firstLineChars="200"/>
    </w:pPr>
    <w:rPr>
      <w:rFonts w:ascii="Arial" w:hAnsi="Arial" w:eastAsia="微软雅黑" w:cs="Times New Roman"/>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8783F-E2C1-48D1-A5D7-EC5C641251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13705</Words>
  <Characters>13983</Characters>
  <Lines>59</Lines>
  <Paragraphs>16</Paragraphs>
  <TotalTime>28</TotalTime>
  <ScaleCrop>false</ScaleCrop>
  <LinksUpToDate>false</LinksUpToDate>
  <CharactersWithSpaces>14617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2018-08-14T09:11:00Z</dcterms:created>
  <dc:creator>Administrator</dc:creator>
  <cp:lastModifiedBy>stella</cp:lastModifiedBy>
  <cp:lastPrinted>2021-01-08T02:21:00Z</cp:lastPrinted>
  <dcterms:modified xsi:type="dcterms:W3CDTF">2024-07-23T01:34:13Z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B9ADBE572E5148DB9F5CD51D3AA18DAC_13</vt:lpwstr>
  </property>
</Properties>
</file>